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51303" w14:textId="4A11883A" w:rsidR="00CF2D94" w:rsidRPr="00CF2D94" w:rsidRDefault="00916172" w:rsidP="00627B0D">
      <w:pPr>
        <w:pStyle w:val="AEMCHEADERL1"/>
        <w:outlineLvl w:val="0"/>
      </w:pPr>
      <w:r>
        <w:t xml:space="preserve">Including distribution network resilience in the national electricity rules </w:t>
      </w:r>
    </w:p>
    <w:p w14:paraId="066746E4" w14:textId="77777777" w:rsidR="00CF2D94" w:rsidRPr="00F73126" w:rsidRDefault="005E638A" w:rsidP="00627B0D">
      <w:pPr>
        <w:pStyle w:val="AEMCHeaderL2"/>
        <w:outlineLvl w:val="0"/>
        <w:rPr>
          <w:szCs w:val="36"/>
        </w:rPr>
      </w:pPr>
      <w:r>
        <w:t>stakeholder feedback template</w:t>
      </w:r>
    </w:p>
    <w:p w14:paraId="4317426A" w14:textId="77777777"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the consultation</w:t>
      </w:r>
      <w:r w:rsidRPr="008C6A18">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6E5BAF14" w14:textId="77777777"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14:paraId="5BE0CF8A" w14:textId="77777777" w:rsidTr="00780BB3">
        <w:tc>
          <w:tcPr>
            <w:tcW w:w="1560" w:type="dxa"/>
          </w:tcPr>
          <w:p w14:paraId="4E58728C" w14:textId="77777777"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14:paraId="322F4E6F"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14:paraId="02F12F54" w14:textId="77777777" w:rsidTr="00780BB3">
        <w:tc>
          <w:tcPr>
            <w:tcW w:w="1560" w:type="dxa"/>
          </w:tcPr>
          <w:p w14:paraId="5A86CB74" w14:textId="77777777"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14:paraId="003817AE"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25ACDD3F" w14:textId="77777777" w:rsidTr="00780BB3">
        <w:tc>
          <w:tcPr>
            <w:tcW w:w="1560" w:type="dxa"/>
          </w:tcPr>
          <w:p w14:paraId="79B15712" w14:textId="77777777" w:rsidR="008C6A18" w:rsidRPr="00780BB3" w:rsidRDefault="000C745C" w:rsidP="000C745C">
            <w:pPr>
              <w:pStyle w:val="AEMCTableCopySubmitterDetails"/>
              <w:rPr>
                <w:rStyle w:val="Hyperlink"/>
                <w:b/>
              </w:rPr>
            </w:pPr>
            <w:r w:rsidRPr="00780BB3">
              <w:rPr>
                <w:rStyle w:val="Hyperlink"/>
                <w:b/>
              </w:rPr>
              <w:t>EMAIL:</w:t>
            </w:r>
          </w:p>
        </w:tc>
        <w:tc>
          <w:tcPr>
            <w:tcW w:w="6361" w:type="dxa"/>
          </w:tcPr>
          <w:p w14:paraId="2366468A"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5A942EA0" w14:textId="77777777" w:rsidTr="00780BB3">
        <w:tc>
          <w:tcPr>
            <w:tcW w:w="1560" w:type="dxa"/>
          </w:tcPr>
          <w:p w14:paraId="73B08DCE" w14:textId="77777777" w:rsidR="008C6A18" w:rsidRPr="00780BB3" w:rsidRDefault="000C745C" w:rsidP="000C745C">
            <w:pPr>
              <w:pStyle w:val="AEMCTableCopySubmitterDetails"/>
              <w:rPr>
                <w:rStyle w:val="Hyperlink"/>
                <w:b/>
              </w:rPr>
            </w:pPr>
            <w:r w:rsidRPr="00780BB3">
              <w:rPr>
                <w:rStyle w:val="Hyperlink"/>
                <w:b/>
              </w:rPr>
              <w:t>PHONE:</w:t>
            </w:r>
          </w:p>
        </w:tc>
        <w:tc>
          <w:tcPr>
            <w:tcW w:w="6361" w:type="dxa"/>
          </w:tcPr>
          <w:p w14:paraId="573D0275"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C114E7" w:rsidRPr="00A85F9E" w14:paraId="727AFACB" w14:textId="77777777" w:rsidTr="00780BB3">
        <w:tc>
          <w:tcPr>
            <w:tcW w:w="1560" w:type="dxa"/>
          </w:tcPr>
          <w:p w14:paraId="01CD8E17" w14:textId="77777777" w:rsidR="00C114E7" w:rsidRPr="00780BB3" w:rsidRDefault="00C114E7" w:rsidP="000C745C">
            <w:pPr>
              <w:pStyle w:val="AEMCTableCopySubmitterDetails"/>
              <w:rPr>
                <w:rStyle w:val="Hyperlink"/>
                <w:b/>
              </w:rPr>
            </w:pPr>
            <w:r>
              <w:rPr>
                <w:rStyle w:val="Hyperlink"/>
                <w:b/>
              </w:rPr>
              <w:t>DATE</w:t>
            </w:r>
          </w:p>
        </w:tc>
        <w:tc>
          <w:tcPr>
            <w:tcW w:w="6361" w:type="dxa"/>
          </w:tcPr>
          <w:p w14:paraId="45D0B34A" w14:textId="77777777" w:rsidR="00C114E7" w:rsidRPr="00785222" w:rsidRDefault="00C114E7" w:rsidP="00785222">
            <w:pPr>
              <w:pStyle w:val="AEMCTableCopySubmitterDetails"/>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2F43794" w14:textId="77777777" w:rsidR="00C114E7" w:rsidRDefault="00C114E7" w:rsidP="00C114E7">
      <w:pPr>
        <w:pStyle w:val="AEMCHeaderL3"/>
        <w:rPr>
          <w:rStyle w:val="Hyperlink"/>
        </w:rPr>
      </w:pPr>
    </w:p>
    <w:p w14:paraId="1E051018"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2127"/>
        <w:gridCol w:w="5794"/>
      </w:tblGrid>
      <w:tr w:rsidR="00C114E7" w:rsidRPr="00A85F9E" w14:paraId="7FFF2F03" w14:textId="77777777" w:rsidTr="00916172">
        <w:tc>
          <w:tcPr>
            <w:tcW w:w="2127" w:type="dxa"/>
          </w:tcPr>
          <w:p w14:paraId="43472EC7" w14:textId="5F5732D8" w:rsidR="00C114E7" w:rsidRPr="00780BB3" w:rsidRDefault="00C114E7" w:rsidP="001926E2">
            <w:pPr>
              <w:pStyle w:val="AEMCTableCopySubmitterDetails"/>
              <w:rPr>
                <w:rStyle w:val="Hyperlink"/>
                <w:b/>
              </w:rPr>
            </w:pPr>
            <w:r>
              <w:rPr>
                <w:rStyle w:val="Hyperlink"/>
                <w:b/>
              </w:rPr>
              <w:t>NAME OF RULE CHANGE:</w:t>
            </w:r>
          </w:p>
        </w:tc>
        <w:tc>
          <w:tcPr>
            <w:tcW w:w="5794" w:type="dxa"/>
          </w:tcPr>
          <w:p w14:paraId="1CDA5BC4" w14:textId="63FB5C01" w:rsidR="00C114E7" w:rsidRPr="00916172" w:rsidRDefault="00916172" w:rsidP="001926E2">
            <w:pPr>
              <w:pStyle w:val="AEMCTableCopySubmitterDetails"/>
              <w:rPr>
                <w:rStyle w:val="Hyperlink"/>
                <w:bCs/>
              </w:rPr>
            </w:pPr>
            <w:r w:rsidRPr="00916172">
              <w:rPr>
                <w:rStyle w:val="Hyperlink"/>
                <w:bCs/>
              </w:rPr>
              <w:t xml:space="preserve">Including distribution network resilience in the national electricity rules </w:t>
            </w:r>
          </w:p>
        </w:tc>
      </w:tr>
      <w:tr w:rsidR="00C114E7" w:rsidRPr="00A85F9E" w14:paraId="5DF2982A" w14:textId="77777777" w:rsidTr="00916172">
        <w:tc>
          <w:tcPr>
            <w:tcW w:w="2127" w:type="dxa"/>
          </w:tcPr>
          <w:p w14:paraId="7BBB8ADC" w14:textId="77777777" w:rsidR="00C114E7" w:rsidRPr="00780BB3" w:rsidRDefault="00C114E7" w:rsidP="001926E2">
            <w:pPr>
              <w:pStyle w:val="AEMCTableCopySubmitterDetails"/>
              <w:rPr>
                <w:rStyle w:val="Hyperlink"/>
                <w:b/>
              </w:rPr>
            </w:pPr>
            <w:r>
              <w:rPr>
                <w:rStyle w:val="Hyperlink"/>
                <w:b/>
              </w:rPr>
              <w:t>PROJECT CODE:</w:t>
            </w:r>
          </w:p>
        </w:tc>
        <w:tc>
          <w:tcPr>
            <w:tcW w:w="5794" w:type="dxa"/>
          </w:tcPr>
          <w:p w14:paraId="64CB1507" w14:textId="1ED5DFD4" w:rsidR="00C114E7" w:rsidRPr="00916172" w:rsidRDefault="00916172" w:rsidP="001926E2">
            <w:pPr>
              <w:pStyle w:val="AEMCTableCopySubmitterDetails"/>
              <w:rPr>
                <w:rStyle w:val="Hyperlink"/>
                <w:bCs/>
              </w:rPr>
            </w:pPr>
            <w:r w:rsidRPr="00916172">
              <w:rPr>
                <w:rStyle w:val="Hyperlink"/>
                <w:bCs/>
              </w:rPr>
              <w:t>ERC0400</w:t>
            </w:r>
          </w:p>
        </w:tc>
      </w:tr>
      <w:tr w:rsidR="00C114E7" w:rsidRPr="00A85F9E" w14:paraId="363A9DEF" w14:textId="77777777" w:rsidTr="00916172">
        <w:tc>
          <w:tcPr>
            <w:tcW w:w="2127" w:type="dxa"/>
          </w:tcPr>
          <w:p w14:paraId="3EC46F4E" w14:textId="3A43CF5A" w:rsidR="00C114E7" w:rsidRPr="00780BB3" w:rsidRDefault="00C114E7" w:rsidP="001926E2">
            <w:pPr>
              <w:pStyle w:val="AEMCTableCopySubmitterDetails"/>
              <w:rPr>
                <w:rStyle w:val="Hyperlink"/>
                <w:b/>
              </w:rPr>
            </w:pPr>
            <w:r>
              <w:rPr>
                <w:rStyle w:val="Hyperlink"/>
                <w:b/>
              </w:rPr>
              <w:t>PROPONENT:</w:t>
            </w:r>
          </w:p>
        </w:tc>
        <w:tc>
          <w:tcPr>
            <w:tcW w:w="5794" w:type="dxa"/>
          </w:tcPr>
          <w:p w14:paraId="10EEDA55" w14:textId="14545E82" w:rsidR="00C114E7" w:rsidRPr="00916172" w:rsidRDefault="00916172" w:rsidP="001926E2">
            <w:pPr>
              <w:pStyle w:val="AEMCTableCopySubmitterDetails"/>
              <w:rPr>
                <w:rStyle w:val="Hyperlink"/>
                <w:bCs/>
              </w:rPr>
            </w:pPr>
            <w:r w:rsidRPr="00916172">
              <w:rPr>
                <w:bCs/>
                <w:lang w:val="en-AU"/>
              </w:rPr>
              <w:t>The Honourable Lily D’Ambrosio MP, Victorian Minister for Energy and Resources</w:t>
            </w:r>
          </w:p>
        </w:tc>
      </w:tr>
      <w:tr w:rsidR="00C114E7" w:rsidRPr="00A85F9E" w14:paraId="0694036C" w14:textId="77777777" w:rsidTr="00916172">
        <w:tc>
          <w:tcPr>
            <w:tcW w:w="2127" w:type="dxa"/>
          </w:tcPr>
          <w:p w14:paraId="01C9B65D" w14:textId="77777777" w:rsidR="00C114E7" w:rsidRPr="00780BB3" w:rsidRDefault="00C114E7" w:rsidP="001926E2">
            <w:pPr>
              <w:pStyle w:val="AEMCTableCopySubmitterDetails"/>
              <w:rPr>
                <w:rStyle w:val="Hyperlink"/>
                <w:b/>
              </w:rPr>
            </w:pPr>
            <w:r>
              <w:rPr>
                <w:rStyle w:val="Hyperlink"/>
                <w:b/>
              </w:rPr>
              <w:t>SUBMISSION DUE DATE:</w:t>
            </w:r>
          </w:p>
        </w:tc>
        <w:tc>
          <w:tcPr>
            <w:tcW w:w="5794" w:type="dxa"/>
          </w:tcPr>
          <w:p w14:paraId="3265CDC6" w14:textId="710E38E6" w:rsidR="00C114E7" w:rsidRPr="00916172" w:rsidRDefault="00916172" w:rsidP="001926E2">
            <w:pPr>
              <w:pStyle w:val="AEMCTableCopySubmitterDetails"/>
              <w:rPr>
                <w:rStyle w:val="Hyperlink"/>
                <w:bCs/>
              </w:rPr>
            </w:pPr>
            <w:r w:rsidRPr="00916172">
              <w:rPr>
                <w:rStyle w:val="Hyperlink"/>
                <w:bCs/>
              </w:rPr>
              <w:t>7 November 2024</w:t>
            </w:r>
          </w:p>
        </w:tc>
      </w:tr>
    </w:tbl>
    <w:p w14:paraId="7B5D1D57" w14:textId="77777777" w:rsidR="008E7A48" w:rsidRDefault="008E7A48" w:rsidP="00916172">
      <w:pPr>
        <w:pStyle w:val="AEMCHeaderL4"/>
        <w:rPr>
          <w:rStyle w:val="Hyperlink"/>
          <w:b/>
        </w:rPr>
      </w:pPr>
    </w:p>
    <w:p w14:paraId="0E22C4E2" w14:textId="77777777" w:rsidR="008E7A48" w:rsidRDefault="008E7A48" w:rsidP="00916172">
      <w:pPr>
        <w:pStyle w:val="AEMCHeaderL4"/>
        <w:rPr>
          <w:rStyle w:val="Hyperlink"/>
          <w:b/>
        </w:rPr>
      </w:pPr>
    </w:p>
    <w:p w14:paraId="66681B5B" w14:textId="77777777" w:rsidR="008E7A48" w:rsidRDefault="008E7A48" w:rsidP="00916172">
      <w:pPr>
        <w:pStyle w:val="AEMCHeaderL4"/>
        <w:rPr>
          <w:rStyle w:val="Hyperlink"/>
          <w:b/>
        </w:rPr>
      </w:pPr>
    </w:p>
    <w:p w14:paraId="4DA2C88B" w14:textId="77777777" w:rsidR="008E7A48" w:rsidRDefault="008E7A48" w:rsidP="00916172">
      <w:pPr>
        <w:pStyle w:val="AEMCHeaderL4"/>
        <w:rPr>
          <w:rStyle w:val="Hyperlink"/>
          <w:b/>
        </w:rPr>
      </w:pPr>
    </w:p>
    <w:p w14:paraId="4EBB28C5" w14:textId="77777777" w:rsidR="008E7A48" w:rsidRDefault="008E7A48" w:rsidP="00916172">
      <w:pPr>
        <w:pStyle w:val="AEMCHeaderL4"/>
        <w:rPr>
          <w:rStyle w:val="Hyperlink"/>
          <w:b/>
        </w:rPr>
      </w:pPr>
    </w:p>
    <w:p w14:paraId="19EA08E3" w14:textId="77777777" w:rsidR="008E7A48" w:rsidRDefault="008E7A48" w:rsidP="00916172">
      <w:pPr>
        <w:pStyle w:val="AEMCHeaderL4"/>
        <w:rPr>
          <w:rStyle w:val="Hyperlink"/>
          <w:b/>
        </w:rPr>
      </w:pPr>
    </w:p>
    <w:p w14:paraId="03352FA4" w14:textId="77777777" w:rsidR="008E7A48" w:rsidRDefault="008E7A48" w:rsidP="00916172">
      <w:pPr>
        <w:pStyle w:val="AEMCHeaderL4"/>
        <w:rPr>
          <w:rStyle w:val="Hyperlink"/>
          <w:b/>
        </w:rPr>
      </w:pPr>
    </w:p>
    <w:p w14:paraId="19C67662" w14:textId="77777777" w:rsidR="008E7A48" w:rsidRDefault="008E7A48" w:rsidP="00916172">
      <w:pPr>
        <w:pStyle w:val="AEMCHeaderL4"/>
        <w:rPr>
          <w:rStyle w:val="Hyperlink"/>
          <w:b/>
        </w:rPr>
        <w:sectPr w:rsidR="008E7A48" w:rsidSect="00EB47DB">
          <w:headerReference w:type="default" r:id="rId12"/>
          <w:footerReference w:type="default" r:id="rId13"/>
          <w:headerReference w:type="first" r:id="rId14"/>
          <w:footerReference w:type="first" r:id="rId15"/>
          <w:pgSz w:w="11901" w:h="16840"/>
          <w:pgMar w:top="2835" w:right="1418" w:bottom="851" w:left="2552" w:header="879" w:footer="567" w:gutter="0"/>
          <w:cols w:space="708"/>
          <w:titlePg/>
          <w:docGrid w:linePitch="360"/>
        </w:sectPr>
      </w:pPr>
    </w:p>
    <w:p w14:paraId="33ED80AF" w14:textId="4263A170" w:rsidR="00916172" w:rsidRPr="008A4886" w:rsidRDefault="00916172" w:rsidP="00916172">
      <w:pPr>
        <w:pStyle w:val="AEMCHeaderL4"/>
        <w:rPr>
          <w:rStyle w:val="Hyperlink"/>
        </w:rPr>
      </w:pPr>
      <w:r w:rsidRPr="008A4886">
        <w:rPr>
          <w:rStyle w:val="Hyperlink"/>
          <w:b/>
        </w:rPr>
        <w:lastRenderedPageBreak/>
        <w:t xml:space="preserve">CHAPTER </w:t>
      </w:r>
      <w:r>
        <w:rPr>
          <w:rStyle w:val="Hyperlink"/>
          <w:b/>
        </w:rPr>
        <w:t>2</w:t>
      </w:r>
      <w:r w:rsidRPr="008A4886">
        <w:rPr>
          <w:rStyle w:val="Hyperlink"/>
        </w:rPr>
        <w:t xml:space="preserve"> – </w:t>
      </w:r>
      <w:r w:rsidRPr="00916172">
        <w:rPr>
          <w:lang w:val="en-AU"/>
        </w:rPr>
        <w:t>The problem raised in the rule change request</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160"/>
        <w:gridCol w:w="8092"/>
      </w:tblGrid>
      <w:tr w:rsidR="00916172" w:rsidRPr="0000465F" w14:paraId="3FDF9B0B" w14:textId="77777777" w:rsidTr="008E7A48">
        <w:trPr>
          <w:trHeight w:val="1090"/>
        </w:trPr>
        <w:tc>
          <w:tcPr>
            <w:tcW w:w="5160" w:type="dxa"/>
            <w:tcBorders>
              <w:top w:val="single" w:sz="18" w:space="0" w:color="00A8E5" w:themeColor="accent1"/>
              <w:right w:val="single" w:sz="2" w:space="0" w:color="58595B" w:themeColor="accent4"/>
            </w:tcBorders>
            <w:shd w:val="clear" w:color="auto" w:fill="F6F6F6"/>
          </w:tcPr>
          <w:p w14:paraId="396E9A4F" w14:textId="5C4BFE3F" w:rsidR="00113489" w:rsidRPr="00113489" w:rsidRDefault="00113489" w:rsidP="00113489">
            <w:pPr>
              <w:pStyle w:val="AEMCTableBodyCopy"/>
              <w:rPr>
                <w:rStyle w:val="Hyperlink"/>
                <w:b/>
                <w:bCs/>
                <w:lang w:val="en-AU"/>
              </w:rPr>
            </w:pPr>
            <w:r>
              <w:rPr>
                <w:rFonts w:asciiTheme="majorHAnsi" w:hAnsiTheme="majorHAnsi" w:cstheme="majorHAnsi"/>
                <w:b/>
                <w:bCs/>
                <w:lang w:val="en-AU" w:bidi="th-TH"/>
              </w:rPr>
              <w:t>1. D</w:t>
            </w:r>
            <w:r w:rsidR="00916172" w:rsidRPr="00113489">
              <w:rPr>
                <w:rFonts w:asciiTheme="majorHAnsi" w:hAnsiTheme="majorHAnsi" w:cstheme="majorHAnsi"/>
                <w:b/>
                <w:bCs/>
                <w:lang w:val="en-AU" w:bidi="th-TH"/>
              </w:rPr>
              <w:t xml:space="preserve">oes the current framework for distribution network resilience create regulatory uncertainty for DNSPs and the AER around efficient expenditure for long-duration outages? </w:t>
            </w:r>
            <w:r w:rsidR="008E7A48" w:rsidRPr="00113489">
              <w:rPr>
                <w:b/>
                <w:bCs/>
                <w:lang w:val="en-AU"/>
              </w:rPr>
              <w:t xml:space="preserve">Should the framework </w:t>
            </w:r>
            <w:proofErr w:type="gramStart"/>
            <w:r w:rsidR="008E7A48" w:rsidRPr="00113489">
              <w:rPr>
                <w:b/>
                <w:bCs/>
                <w:lang w:val="en-AU"/>
              </w:rPr>
              <w:t>be amended</w:t>
            </w:r>
            <w:proofErr w:type="gramEnd"/>
            <w:r w:rsidR="008E7A48" w:rsidRPr="00113489">
              <w:rPr>
                <w:b/>
                <w:bCs/>
                <w:lang w:val="en-AU"/>
              </w:rPr>
              <w:t xml:space="preserve"> to provide clarity?</w:t>
            </w:r>
          </w:p>
        </w:tc>
        <w:tc>
          <w:tcPr>
            <w:tcW w:w="8092" w:type="dxa"/>
            <w:tcBorders>
              <w:top w:val="single" w:sz="18" w:space="0" w:color="00A8E5" w:themeColor="accent1"/>
              <w:left w:val="single" w:sz="2" w:space="0" w:color="58595B" w:themeColor="accent4"/>
            </w:tcBorders>
          </w:tcPr>
          <w:p w14:paraId="63228F48" w14:textId="77777777" w:rsidR="00916172" w:rsidRPr="008E7A48" w:rsidRDefault="00916172" w:rsidP="002121E4">
            <w:pPr>
              <w:pStyle w:val="AEMCTableBodyCopy"/>
              <w:rPr>
                <w:rStyle w:val="Hyperlink"/>
              </w:rPr>
            </w:pPr>
            <w:r w:rsidRPr="008E7A48">
              <w:rPr>
                <w:rStyle w:val="Hyperlink"/>
              </w:rPr>
              <w:fldChar w:fldCharType="begin">
                <w:ffData>
                  <w:name w:val="Text11"/>
                  <w:enabled/>
                  <w:calcOnExit w:val="0"/>
                  <w:textInput/>
                </w:ffData>
              </w:fldChar>
            </w:r>
            <w:r w:rsidRPr="008E7A48">
              <w:rPr>
                <w:rStyle w:val="Hyperlink"/>
              </w:rPr>
              <w:instrText xml:space="preserve"> FORMTEXT </w:instrText>
            </w:r>
            <w:r w:rsidRPr="008E7A48">
              <w:rPr>
                <w:rStyle w:val="Hyperlink"/>
              </w:rPr>
            </w:r>
            <w:r w:rsidRPr="008E7A48">
              <w:rPr>
                <w:rStyle w:val="Hyperlink"/>
              </w:rPr>
              <w:fldChar w:fldCharType="separate"/>
            </w:r>
            <w:r w:rsidRPr="008E7A48">
              <w:rPr>
                <w:rStyle w:val="Hyperlink"/>
                <w:noProof/>
              </w:rPr>
              <w:t> </w:t>
            </w:r>
            <w:r w:rsidRPr="008E7A48">
              <w:rPr>
                <w:rStyle w:val="Hyperlink"/>
                <w:noProof/>
              </w:rPr>
              <w:t> </w:t>
            </w:r>
            <w:r w:rsidRPr="008E7A48">
              <w:rPr>
                <w:rStyle w:val="Hyperlink"/>
                <w:noProof/>
              </w:rPr>
              <w:t> </w:t>
            </w:r>
            <w:r w:rsidRPr="008E7A48">
              <w:rPr>
                <w:rStyle w:val="Hyperlink"/>
                <w:noProof/>
              </w:rPr>
              <w:t> </w:t>
            </w:r>
            <w:r w:rsidRPr="008E7A48">
              <w:rPr>
                <w:rStyle w:val="Hyperlink"/>
                <w:noProof/>
              </w:rPr>
              <w:t> </w:t>
            </w:r>
            <w:r w:rsidRPr="008E7A48">
              <w:rPr>
                <w:rStyle w:val="Hyperlink"/>
              </w:rPr>
              <w:fldChar w:fldCharType="end"/>
            </w:r>
          </w:p>
        </w:tc>
      </w:tr>
      <w:tr w:rsidR="00916172" w:rsidRPr="0000465F" w14:paraId="5DC85188" w14:textId="77777777" w:rsidTr="008E7A48">
        <w:trPr>
          <w:trHeight w:val="1984"/>
        </w:trPr>
        <w:tc>
          <w:tcPr>
            <w:tcW w:w="5160" w:type="dxa"/>
            <w:tcBorders>
              <w:right w:val="single" w:sz="2" w:space="0" w:color="58595B" w:themeColor="accent4"/>
            </w:tcBorders>
            <w:shd w:val="clear" w:color="auto" w:fill="F6F6F6"/>
          </w:tcPr>
          <w:p w14:paraId="567A9E95" w14:textId="098EF451" w:rsidR="00916172" w:rsidRPr="00113489" w:rsidRDefault="00113489" w:rsidP="00113489">
            <w:pPr>
              <w:pStyle w:val="AEMCTableBodyCopy"/>
              <w:rPr>
                <w:b/>
                <w:bCs/>
                <w:lang w:val="pt-BR"/>
              </w:rPr>
            </w:pPr>
            <w:r>
              <w:rPr>
                <w:b/>
                <w:bCs/>
                <w:lang w:val="en-AU"/>
              </w:rPr>
              <w:t>2. H</w:t>
            </w:r>
            <w:r w:rsidR="00916172" w:rsidRPr="00113489">
              <w:rPr>
                <w:b/>
                <w:bCs/>
                <w:lang w:val="en-AU"/>
              </w:rPr>
              <w:t>ow material is the lack of clarity in the rules around network resilience?</w:t>
            </w:r>
          </w:p>
          <w:p w14:paraId="79216D5C" w14:textId="186E897A" w:rsidR="00916172" w:rsidRPr="00916172" w:rsidRDefault="00916172" w:rsidP="00916172">
            <w:pPr>
              <w:pStyle w:val="AEMCTableBodyCopy"/>
              <w:numPr>
                <w:ilvl w:val="0"/>
                <w:numId w:val="12"/>
              </w:numPr>
              <w:rPr>
                <w:lang w:val="en-AU"/>
              </w:rPr>
            </w:pPr>
            <w:r w:rsidRPr="00916172">
              <w:rPr>
                <w:lang w:val="en-AU"/>
              </w:rPr>
              <w:t>Do you consider the issue with the NER raised by the proponent to be a substantive problem? If</w:t>
            </w:r>
            <w:r w:rsidRPr="008E7A48">
              <w:rPr>
                <w:lang w:val="en-AU"/>
              </w:rPr>
              <w:t xml:space="preserve"> </w:t>
            </w:r>
            <w:r w:rsidRPr="00916172">
              <w:rPr>
                <w:lang w:val="en-AU"/>
              </w:rPr>
              <w:t>so, why?</w:t>
            </w:r>
          </w:p>
          <w:p w14:paraId="004BBF54" w14:textId="05D3858B" w:rsidR="00916172" w:rsidRPr="008E7A48" w:rsidRDefault="00916172" w:rsidP="00916172">
            <w:pPr>
              <w:pStyle w:val="AEMCTableBodyCopy"/>
              <w:numPr>
                <w:ilvl w:val="0"/>
                <w:numId w:val="12"/>
              </w:numPr>
              <w:rPr>
                <w:rStyle w:val="Hyperlink"/>
                <w:lang w:val="en-AU"/>
              </w:rPr>
            </w:pPr>
            <w:r w:rsidRPr="00916172">
              <w:rPr>
                <w:lang w:val="en-AU"/>
              </w:rPr>
              <w:t>Are there any other programs or energy sector reforms that may partially or fully address the</w:t>
            </w:r>
            <w:r w:rsidRPr="008E7A48">
              <w:rPr>
                <w:lang w:val="en-AU"/>
              </w:rPr>
              <w:t xml:space="preserve"> </w:t>
            </w:r>
            <w:r w:rsidRPr="008E7A48">
              <w:rPr>
                <w:lang w:val="en-AU"/>
              </w:rPr>
              <w:t>problem raised by the proponent?</w:t>
            </w:r>
          </w:p>
        </w:tc>
        <w:tc>
          <w:tcPr>
            <w:tcW w:w="8092" w:type="dxa"/>
            <w:tcBorders>
              <w:left w:val="single" w:sz="2" w:space="0" w:color="58595B" w:themeColor="accent4"/>
            </w:tcBorders>
          </w:tcPr>
          <w:p w14:paraId="74F7B42E" w14:textId="77777777" w:rsidR="00916172" w:rsidRPr="008E7A48" w:rsidRDefault="00916172" w:rsidP="002121E4">
            <w:pPr>
              <w:pStyle w:val="AEMCTableBodyCopy"/>
              <w:rPr>
                <w:rStyle w:val="Hyperlink"/>
              </w:rPr>
            </w:pPr>
            <w:r w:rsidRPr="008E7A48">
              <w:rPr>
                <w:rStyle w:val="Hyperlink"/>
              </w:rPr>
              <w:fldChar w:fldCharType="begin">
                <w:ffData>
                  <w:name w:val="Text12"/>
                  <w:enabled/>
                  <w:calcOnExit w:val="0"/>
                  <w:textInput/>
                </w:ffData>
              </w:fldChar>
            </w:r>
            <w:r w:rsidRPr="008E7A48">
              <w:rPr>
                <w:rStyle w:val="Hyperlink"/>
              </w:rPr>
              <w:instrText xml:space="preserve"> FORMTEXT </w:instrText>
            </w:r>
            <w:r w:rsidRPr="008E7A48">
              <w:rPr>
                <w:rStyle w:val="Hyperlink"/>
              </w:rPr>
            </w:r>
            <w:r w:rsidRPr="008E7A48">
              <w:rPr>
                <w:rStyle w:val="Hyperlink"/>
              </w:rPr>
              <w:fldChar w:fldCharType="separate"/>
            </w:r>
            <w:r w:rsidRPr="008E7A48">
              <w:rPr>
                <w:rStyle w:val="Hyperlink"/>
                <w:noProof/>
              </w:rPr>
              <w:t> </w:t>
            </w:r>
            <w:r w:rsidRPr="008E7A48">
              <w:rPr>
                <w:rStyle w:val="Hyperlink"/>
                <w:noProof/>
              </w:rPr>
              <w:t> </w:t>
            </w:r>
            <w:r w:rsidRPr="008E7A48">
              <w:rPr>
                <w:rStyle w:val="Hyperlink"/>
                <w:noProof/>
              </w:rPr>
              <w:t> </w:t>
            </w:r>
            <w:r w:rsidRPr="008E7A48">
              <w:rPr>
                <w:rStyle w:val="Hyperlink"/>
                <w:noProof/>
              </w:rPr>
              <w:t> </w:t>
            </w:r>
            <w:r w:rsidRPr="008E7A48">
              <w:rPr>
                <w:rStyle w:val="Hyperlink"/>
                <w:noProof/>
              </w:rPr>
              <w:t> </w:t>
            </w:r>
            <w:r w:rsidRPr="008E7A48">
              <w:rPr>
                <w:rStyle w:val="Hyperlink"/>
              </w:rPr>
              <w:fldChar w:fldCharType="end"/>
            </w:r>
          </w:p>
        </w:tc>
      </w:tr>
    </w:tbl>
    <w:p w14:paraId="5B04787F" w14:textId="0911E4B4" w:rsidR="00C114E7" w:rsidRPr="008A4886" w:rsidRDefault="00C114E7" w:rsidP="00C114E7">
      <w:pPr>
        <w:pStyle w:val="AEMCHeaderL4"/>
        <w:rPr>
          <w:rStyle w:val="Hyperlink"/>
        </w:rPr>
      </w:pPr>
      <w:r w:rsidRPr="008A4886">
        <w:rPr>
          <w:rStyle w:val="Hyperlink"/>
          <w:b/>
        </w:rPr>
        <w:t xml:space="preserve">CHAPTER </w:t>
      </w:r>
      <w:r w:rsidR="00916172">
        <w:rPr>
          <w:rStyle w:val="Hyperlink"/>
          <w:b/>
        </w:rPr>
        <w:t>3</w:t>
      </w:r>
      <w:r w:rsidRPr="008A4886">
        <w:rPr>
          <w:rStyle w:val="Hyperlink"/>
        </w:rPr>
        <w:t xml:space="preserve"> </w:t>
      </w:r>
      <w:r w:rsidR="00916172">
        <w:rPr>
          <w:rStyle w:val="Hyperlink"/>
        </w:rPr>
        <w:t xml:space="preserve">- </w:t>
      </w:r>
      <w:r w:rsidR="00916172" w:rsidRPr="00916172">
        <w:rPr>
          <w:lang w:val="en-AU"/>
        </w:rPr>
        <w:t>The proposed solution and implementation</w:t>
      </w:r>
    </w:p>
    <w:tbl>
      <w:tblPr>
        <w:tblStyle w:val="TableGrid"/>
        <w:tblW w:w="13302"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160"/>
        <w:gridCol w:w="8142"/>
      </w:tblGrid>
      <w:tr w:rsidR="0015555C" w:rsidRPr="0000465F" w14:paraId="23DE26E1" w14:textId="77777777" w:rsidTr="008E7A48">
        <w:trPr>
          <w:trHeight w:val="528"/>
        </w:trPr>
        <w:tc>
          <w:tcPr>
            <w:tcW w:w="5160" w:type="dxa"/>
            <w:tcBorders>
              <w:top w:val="single" w:sz="18" w:space="0" w:color="00A8E5" w:themeColor="accent1"/>
              <w:right w:val="single" w:sz="2" w:space="0" w:color="58595B" w:themeColor="accent4"/>
            </w:tcBorders>
            <w:shd w:val="clear" w:color="auto" w:fill="F6F6F6"/>
          </w:tcPr>
          <w:p w14:paraId="3651CF2F" w14:textId="588B2B2E" w:rsidR="008E7A48" w:rsidRPr="00113489" w:rsidRDefault="00113489" w:rsidP="00113489">
            <w:pPr>
              <w:pStyle w:val="AEMCTableBodyCopyNumbers"/>
              <w:numPr>
                <w:ilvl w:val="0"/>
                <w:numId w:val="0"/>
              </w:numPr>
              <w:rPr>
                <w:rFonts w:asciiTheme="majorHAnsi" w:hAnsiTheme="majorHAnsi" w:cstheme="majorHAnsi"/>
                <w:b/>
                <w:bCs/>
                <w:lang w:val="pt-BR"/>
              </w:rPr>
            </w:pPr>
            <w:r>
              <w:rPr>
                <w:rFonts w:asciiTheme="majorHAnsi" w:hAnsiTheme="majorHAnsi" w:cstheme="majorHAnsi"/>
                <w:b/>
                <w:bCs/>
                <w:lang w:val="en-AU" w:bidi="th-TH"/>
              </w:rPr>
              <w:t>3. Do</w:t>
            </w:r>
            <w:r w:rsidR="008E7A48" w:rsidRPr="00113489">
              <w:rPr>
                <w:rFonts w:asciiTheme="majorHAnsi" w:hAnsiTheme="majorHAnsi" w:cstheme="majorHAnsi"/>
                <w:b/>
                <w:bCs/>
                <w:lang w:val="en-AU" w:bidi="th-TH"/>
              </w:rPr>
              <w:t xml:space="preserve"> you agree with the proposed solution to include resilience expenditure</w:t>
            </w:r>
            <w:r w:rsidR="008E7A48" w:rsidRPr="00113489">
              <w:rPr>
                <w:rFonts w:asciiTheme="majorHAnsi" w:hAnsiTheme="majorHAnsi" w:cstheme="majorHAnsi"/>
                <w:b/>
                <w:bCs/>
                <w:lang w:val="en-AU" w:bidi="th-TH"/>
              </w:rPr>
              <w:t xml:space="preserve"> </w:t>
            </w:r>
            <w:r w:rsidR="008E7A48" w:rsidRPr="00113489">
              <w:rPr>
                <w:rFonts w:asciiTheme="majorHAnsi" w:hAnsiTheme="majorHAnsi" w:cstheme="majorHAnsi"/>
                <w:b/>
                <w:bCs/>
                <w:lang w:val="en-AU" w:bidi="th-TH"/>
              </w:rPr>
              <w:t>factors in the NER?</w:t>
            </w:r>
          </w:p>
          <w:p w14:paraId="33ADC8D9" w14:textId="735E064C" w:rsidR="008E7A48" w:rsidRPr="008E7A48" w:rsidRDefault="008E7A48" w:rsidP="008E7A48">
            <w:pPr>
              <w:pStyle w:val="AEMCTableBodyCopyNumbers"/>
              <w:numPr>
                <w:ilvl w:val="0"/>
                <w:numId w:val="13"/>
              </w:numPr>
              <w:rPr>
                <w:rFonts w:asciiTheme="majorHAnsi" w:hAnsiTheme="majorHAnsi" w:cstheme="majorHAnsi"/>
                <w:color w:val="auto"/>
                <w:lang w:val="en-AU" w:bidi="th-TH"/>
              </w:rPr>
            </w:pPr>
            <w:r w:rsidRPr="008E7A48">
              <w:rPr>
                <w:rFonts w:asciiTheme="majorHAnsi" w:hAnsiTheme="majorHAnsi" w:cstheme="majorHAnsi"/>
                <w:color w:val="auto"/>
                <w:lang w:val="en-AU" w:bidi="th-TH"/>
              </w:rPr>
              <w:t xml:space="preserve">Is including resilience as expenditure factors in the NER an appropriate solution? Is there </w:t>
            </w:r>
            <w:proofErr w:type="gramStart"/>
            <w:r w:rsidRPr="008E7A48">
              <w:rPr>
                <w:rFonts w:asciiTheme="majorHAnsi" w:hAnsiTheme="majorHAnsi" w:cstheme="majorHAnsi"/>
                <w:color w:val="auto"/>
                <w:lang w:val="en-AU" w:bidi="th-TH"/>
              </w:rPr>
              <w:t>a</w:t>
            </w:r>
            <w:r w:rsidRPr="008E7A48">
              <w:rPr>
                <w:rFonts w:asciiTheme="majorHAnsi" w:hAnsiTheme="majorHAnsi" w:cstheme="majorHAnsi"/>
                <w:color w:val="auto"/>
                <w:lang w:val="en-AU" w:bidi="th-TH"/>
              </w:rPr>
              <w:t xml:space="preserve"> </w:t>
            </w:r>
            <w:r w:rsidRPr="008E7A48">
              <w:rPr>
                <w:rFonts w:asciiTheme="majorHAnsi" w:hAnsiTheme="majorHAnsi" w:cstheme="majorHAnsi"/>
                <w:color w:val="auto"/>
                <w:lang w:val="en-AU" w:bidi="th-TH"/>
              </w:rPr>
              <w:t>more preferable</w:t>
            </w:r>
            <w:proofErr w:type="gramEnd"/>
            <w:r w:rsidRPr="008E7A48">
              <w:rPr>
                <w:rFonts w:asciiTheme="majorHAnsi" w:hAnsiTheme="majorHAnsi" w:cstheme="majorHAnsi"/>
                <w:color w:val="auto"/>
                <w:lang w:val="en-AU" w:bidi="th-TH"/>
              </w:rPr>
              <w:t xml:space="preserve"> way to incorporate distribution network resilience into the NER?</w:t>
            </w:r>
          </w:p>
          <w:p w14:paraId="023732EA" w14:textId="77777777" w:rsidR="008E7A48" w:rsidRPr="008E7A48" w:rsidRDefault="008E7A48" w:rsidP="008E7A48">
            <w:pPr>
              <w:pStyle w:val="AEMCTableBodyCopyNumbers"/>
              <w:numPr>
                <w:ilvl w:val="0"/>
                <w:numId w:val="13"/>
              </w:numPr>
              <w:rPr>
                <w:rFonts w:asciiTheme="majorHAnsi" w:hAnsiTheme="majorHAnsi" w:cstheme="majorHAnsi"/>
                <w:color w:val="auto"/>
                <w:lang w:val="en-AU" w:bidi="th-TH"/>
              </w:rPr>
            </w:pPr>
            <w:r w:rsidRPr="008E7A48">
              <w:rPr>
                <w:rFonts w:asciiTheme="majorHAnsi" w:hAnsiTheme="majorHAnsi" w:cstheme="majorHAnsi"/>
                <w:color w:val="auto"/>
                <w:lang w:val="en-AU" w:bidi="th-TH"/>
              </w:rPr>
              <w:t>Do you have any comments on the proposed drafting of the resilience expenditure factors?</w:t>
            </w:r>
            <w:r w:rsidRPr="008E7A48">
              <w:rPr>
                <w:rFonts w:asciiTheme="majorHAnsi" w:hAnsiTheme="majorHAnsi" w:cstheme="majorHAnsi"/>
                <w:color w:val="auto"/>
                <w:lang w:val="en-AU" w:bidi="th-TH"/>
              </w:rPr>
              <w:t xml:space="preserve"> </w:t>
            </w:r>
            <w:r w:rsidRPr="008E7A48">
              <w:rPr>
                <w:rFonts w:asciiTheme="majorHAnsi" w:hAnsiTheme="majorHAnsi" w:cstheme="majorHAnsi"/>
                <w:color w:val="auto"/>
                <w:lang w:val="en-AU" w:bidi="th-TH"/>
              </w:rPr>
              <w:t xml:space="preserve">Should they </w:t>
            </w:r>
            <w:proofErr w:type="gramStart"/>
            <w:r w:rsidRPr="008E7A48">
              <w:rPr>
                <w:rFonts w:asciiTheme="majorHAnsi" w:hAnsiTheme="majorHAnsi" w:cstheme="majorHAnsi"/>
                <w:color w:val="auto"/>
                <w:lang w:val="en-AU" w:bidi="th-TH"/>
              </w:rPr>
              <w:t>be drafted</w:t>
            </w:r>
            <w:proofErr w:type="gramEnd"/>
            <w:r w:rsidRPr="008E7A48">
              <w:rPr>
                <w:rFonts w:asciiTheme="majorHAnsi" w:hAnsiTheme="majorHAnsi" w:cstheme="majorHAnsi"/>
                <w:color w:val="auto"/>
                <w:lang w:val="en-AU" w:bidi="th-TH"/>
              </w:rPr>
              <w:t xml:space="preserve"> in the same way for capital and operating expenditure?</w:t>
            </w:r>
          </w:p>
          <w:p w14:paraId="558F8B83" w14:textId="4CF23063" w:rsidR="008E7A48" w:rsidRPr="008E7A48" w:rsidRDefault="008E7A48" w:rsidP="008E7A48">
            <w:pPr>
              <w:pStyle w:val="AEMCTableBodyCopyNumbers"/>
              <w:numPr>
                <w:ilvl w:val="0"/>
                <w:numId w:val="13"/>
              </w:numPr>
              <w:rPr>
                <w:rStyle w:val="Hyperlink"/>
                <w:rFonts w:asciiTheme="majorHAnsi" w:hAnsiTheme="majorHAnsi" w:cstheme="majorHAnsi"/>
                <w:color w:val="auto"/>
                <w:lang w:val="en-AU" w:bidi="th-TH"/>
              </w:rPr>
            </w:pPr>
            <w:r w:rsidRPr="008E7A48">
              <w:rPr>
                <w:rFonts w:asciiTheme="majorHAnsi" w:hAnsiTheme="majorHAnsi" w:cstheme="majorHAnsi"/>
                <w:color w:val="auto"/>
                <w:lang w:val="en-AU" w:bidi="th-TH"/>
              </w:rPr>
              <w:t>Should the resilience expenditure factors cover severe weather events and other catastrophic</w:t>
            </w:r>
            <w:r w:rsidRPr="008E7A48">
              <w:rPr>
                <w:rFonts w:asciiTheme="majorHAnsi" w:hAnsiTheme="majorHAnsi" w:cstheme="majorHAnsi"/>
                <w:color w:val="auto"/>
                <w:lang w:val="en-AU" w:bidi="th-TH"/>
              </w:rPr>
              <w:t xml:space="preserve"> </w:t>
            </w:r>
            <w:r w:rsidRPr="008E7A48">
              <w:rPr>
                <w:rFonts w:asciiTheme="majorHAnsi" w:hAnsiTheme="majorHAnsi" w:cstheme="majorHAnsi"/>
                <w:color w:val="auto"/>
                <w:lang w:val="en-AU" w:bidi="th-TH"/>
              </w:rPr>
              <w:t>events that may result in long-duration outages?</w:t>
            </w:r>
          </w:p>
        </w:tc>
        <w:tc>
          <w:tcPr>
            <w:tcW w:w="8142" w:type="dxa"/>
            <w:tcBorders>
              <w:top w:val="single" w:sz="18" w:space="0" w:color="00A8E5" w:themeColor="accent1"/>
              <w:left w:val="single" w:sz="2" w:space="0" w:color="58595B" w:themeColor="accent4"/>
            </w:tcBorders>
          </w:tcPr>
          <w:p w14:paraId="7EE7F63B" w14:textId="77777777" w:rsidR="0015555C" w:rsidRPr="008E7A48" w:rsidRDefault="00712806" w:rsidP="00785222">
            <w:pPr>
              <w:pStyle w:val="AEMCTableBodyCopy"/>
              <w:rPr>
                <w:rStyle w:val="Hyperlink"/>
              </w:rPr>
            </w:pPr>
            <w:r w:rsidRPr="008E7A48">
              <w:rPr>
                <w:rStyle w:val="Hyperlink"/>
              </w:rPr>
              <w:fldChar w:fldCharType="begin">
                <w:ffData>
                  <w:name w:val="Text11"/>
                  <w:enabled/>
                  <w:calcOnExit w:val="0"/>
                  <w:textInput/>
                </w:ffData>
              </w:fldChar>
            </w:r>
            <w:bookmarkStart w:id="4" w:name="Text11"/>
            <w:r w:rsidRPr="008E7A48">
              <w:rPr>
                <w:rStyle w:val="Hyperlink"/>
              </w:rPr>
              <w:instrText xml:space="preserve"> FORMTEXT </w:instrText>
            </w:r>
            <w:r w:rsidRPr="008E7A48">
              <w:rPr>
                <w:rStyle w:val="Hyperlink"/>
              </w:rPr>
            </w:r>
            <w:r w:rsidRPr="008E7A48">
              <w:rPr>
                <w:rStyle w:val="Hyperlink"/>
              </w:rPr>
              <w:fldChar w:fldCharType="separate"/>
            </w:r>
            <w:r w:rsidR="00865904" w:rsidRPr="008E7A48">
              <w:rPr>
                <w:rStyle w:val="Hyperlink"/>
                <w:noProof/>
              </w:rPr>
              <w:t> </w:t>
            </w:r>
            <w:r w:rsidR="00865904" w:rsidRPr="008E7A48">
              <w:rPr>
                <w:rStyle w:val="Hyperlink"/>
                <w:noProof/>
              </w:rPr>
              <w:t> </w:t>
            </w:r>
            <w:r w:rsidR="00865904" w:rsidRPr="008E7A48">
              <w:rPr>
                <w:rStyle w:val="Hyperlink"/>
                <w:noProof/>
              </w:rPr>
              <w:t> </w:t>
            </w:r>
            <w:r w:rsidR="00865904" w:rsidRPr="008E7A48">
              <w:rPr>
                <w:rStyle w:val="Hyperlink"/>
                <w:noProof/>
              </w:rPr>
              <w:t> </w:t>
            </w:r>
            <w:r w:rsidR="00865904" w:rsidRPr="008E7A48">
              <w:rPr>
                <w:rStyle w:val="Hyperlink"/>
                <w:noProof/>
              </w:rPr>
              <w:t> </w:t>
            </w:r>
            <w:r w:rsidRPr="008E7A48">
              <w:rPr>
                <w:rStyle w:val="Hyperlink"/>
              </w:rPr>
              <w:fldChar w:fldCharType="end"/>
            </w:r>
            <w:bookmarkEnd w:id="4"/>
          </w:p>
        </w:tc>
      </w:tr>
      <w:tr w:rsidR="0015555C" w:rsidRPr="0000465F" w14:paraId="4F97BB9F" w14:textId="77777777" w:rsidTr="008E7A48">
        <w:trPr>
          <w:trHeight w:val="715"/>
        </w:trPr>
        <w:tc>
          <w:tcPr>
            <w:tcW w:w="5160" w:type="dxa"/>
            <w:tcBorders>
              <w:right w:val="single" w:sz="2" w:space="0" w:color="58595B" w:themeColor="accent4"/>
            </w:tcBorders>
            <w:shd w:val="clear" w:color="auto" w:fill="F6F6F6"/>
          </w:tcPr>
          <w:p w14:paraId="4F8CDCA0" w14:textId="06421BCA" w:rsidR="008E7A48" w:rsidRPr="00113489" w:rsidRDefault="00113489" w:rsidP="00113489">
            <w:pPr>
              <w:pStyle w:val="AEMCTableBodyCopy"/>
              <w:rPr>
                <w:rFonts w:cstheme="minorHAnsi"/>
                <w:b/>
                <w:bCs/>
                <w:lang w:val="pt-BR"/>
              </w:rPr>
            </w:pPr>
            <w:r w:rsidRPr="00113489">
              <w:rPr>
                <w:rFonts w:cstheme="minorHAnsi"/>
                <w:b/>
                <w:bCs/>
                <w:lang w:val="en-AU" w:bidi="th-TH"/>
              </w:rPr>
              <w:lastRenderedPageBreak/>
              <w:t>4. D</w:t>
            </w:r>
            <w:r w:rsidR="008E7A48" w:rsidRPr="00113489">
              <w:rPr>
                <w:rFonts w:cstheme="minorHAnsi"/>
                <w:b/>
                <w:bCs/>
                <w:lang w:val="en-AU" w:bidi="th-TH"/>
              </w:rPr>
              <w:t>o you agree with the proposed solution to require the AER to develop</w:t>
            </w:r>
            <w:r w:rsidR="008E7A48" w:rsidRPr="00113489">
              <w:rPr>
                <w:rFonts w:cstheme="minorHAnsi"/>
                <w:b/>
                <w:bCs/>
                <w:lang w:val="en-AU" w:bidi="th-TH"/>
              </w:rPr>
              <w:t xml:space="preserve"> </w:t>
            </w:r>
            <w:r w:rsidR="008E7A48" w:rsidRPr="00113489">
              <w:rPr>
                <w:rFonts w:cstheme="minorHAnsi"/>
                <w:b/>
                <w:bCs/>
                <w:lang w:val="en-AU" w:bidi="th-TH"/>
              </w:rPr>
              <w:t>resilience guidelines?</w:t>
            </w:r>
          </w:p>
          <w:p w14:paraId="709C045A" w14:textId="232EA56C" w:rsidR="008E7A48" w:rsidRPr="008E7A48" w:rsidRDefault="008E7A48" w:rsidP="008E7A48">
            <w:pPr>
              <w:pStyle w:val="AEMCTableBodyCopy"/>
              <w:ind w:left="284"/>
              <w:rPr>
                <w:rFonts w:cstheme="minorHAnsi"/>
                <w:color w:val="auto"/>
                <w:lang w:val="pt-BR"/>
              </w:rPr>
            </w:pPr>
            <w:r w:rsidRPr="008E7A48">
              <w:rPr>
                <w:rFonts w:cstheme="minorHAnsi"/>
                <w:color w:val="auto"/>
                <w:lang w:val="en-AU" w:bidi="th-TH"/>
              </w:rPr>
              <w:t>(</w:t>
            </w:r>
            <w:r w:rsidRPr="008E7A48">
              <w:rPr>
                <w:rFonts w:cstheme="minorHAnsi"/>
                <w:color w:val="auto"/>
                <w:lang w:val="en-AU" w:bidi="th-TH"/>
              </w:rPr>
              <w:t>a) Do you agree that requiring the AER to develop binding resilience guidelines will address the</w:t>
            </w:r>
            <w:r w:rsidRPr="008E7A48">
              <w:rPr>
                <w:rFonts w:cstheme="minorHAnsi"/>
                <w:color w:val="auto"/>
                <w:lang w:val="en-AU" w:bidi="th-TH"/>
              </w:rPr>
              <w:t xml:space="preserve"> </w:t>
            </w:r>
            <w:r w:rsidRPr="008E7A48">
              <w:rPr>
                <w:rFonts w:cstheme="minorHAnsi"/>
                <w:color w:val="auto"/>
                <w:lang w:val="en-AU" w:bidi="th-TH"/>
              </w:rPr>
              <w:t>issue?</w:t>
            </w:r>
          </w:p>
          <w:p w14:paraId="3172B684" w14:textId="77777777" w:rsidR="008E7A48" w:rsidRPr="008E7A48" w:rsidRDefault="008E7A48" w:rsidP="008E7A48">
            <w:pPr>
              <w:pStyle w:val="AEMCTableBodyCopy"/>
              <w:ind w:left="284"/>
              <w:rPr>
                <w:rFonts w:cstheme="minorHAnsi"/>
                <w:color w:val="auto"/>
                <w:lang w:val="en-AU" w:bidi="th-TH"/>
              </w:rPr>
            </w:pPr>
            <w:r w:rsidRPr="008E7A48">
              <w:rPr>
                <w:rFonts w:cstheme="minorHAnsi"/>
                <w:color w:val="auto"/>
                <w:lang w:val="en-AU" w:bidi="th-TH"/>
              </w:rPr>
              <w:t>(b)</w:t>
            </w:r>
            <w:r w:rsidRPr="008E7A48">
              <w:rPr>
                <w:rFonts w:cstheme="minorHAnsi"/>
                <w:color w:val="auto"/>
                <w:lang w:val="en-AU" w:bidi="th-TH"/>
              </w:rPr>
              <w:t xml:space="preserve"> </w:t>
            </w:r>
            <w:r w:rsidRPr="008E7A48">
              <w:rPr>
                <w:rFonts w:cstheme="minorHAnsi"/>
                <w:color w:val="auto"/>
                <w:lang w:val="en-AU" w:bidi="th-TH"/>
              </w:rPr>
              <w:t>What level of prescription should the NER include relating to the AER’s guidelines? Should the</w:t>
            </w:r>
            <w:r w:rsidRPr="008E7A48">
              <w:rPr>
                <w:rFonts w:cstheme="minorHAnsi"/>
                <w:color w:val="auto"/>
                <w:lang w:val="en-AU" w:bidi="th-TH"/>
              </w:rPr>
              <w:t xml:space="preserve"> </w:t>
            </w:r>
            <w:r w:rsidRPr="008E7A48">
              <w:rPr>
                <w:rFonts w:cstheme="minorHAnsi"/>
                <w:color w:val="auto"/>
                <w:lang w:val="en-AU" w:bidi="th-TH"/>
              </w:rPr>
              <w:t>NER include content requirements for the AER guidelines?</w:t>
            </w:r>
          </w:p>
          <w:p w14:paraId="1C863984" w14:textId="0A4E3213" w:rsidR="008E7A48" w:rsidRPr="00113489" w:rsidRDefault="008E7A48" w:rsidP="00113489">
            <w:pPr>
              <w:pStyle w:val="AEMCTableBodyCopy"/>
              <w:ind w:left="284"/>
              <w:rPr>
                <w:rStyle w:val="Hyperlink"/>
                <w:rFonts w:cstheme="minorHAnsi"/>
                <w:color w:val="auto"/>
                <w:lang w:val="en-AU"/>
              </w:rPr>
            </w:pPr>
            <w:r w:rsidRPr="008E7A48">
              <w:rPr>
                <w:rFonts w:cstheme="minorHAnsi"/>
                <w:color w:val="auto"/>
                <w:lang w:val="en-AU"/>
              </w:rPr>
              <w:t>(c) Do you agree that both including resilience as capital and operating expenditure factors in the</w:t>
            </w:r>
            <w:r w:rsidR="00113489">
              <w:rPr>
                <w:rFonts w:cstheme="minorHAnsi"/>
                <w:color w:val="auto"/>
                <w:lang w:val="en-AU"/>
              </w:rPr>
              <w:t xml:space="preserve"> </w:t>
            </w:r>
            <w:r w:rsidRPr="008E7A48">
              <w:rPr>
                <w:rFonts w:cstheme="minorHAnsi"/>
                <w:color w:val="auto"/>
                <w:lang w:val="en-AU"/>
              </w:rPr>
              <w:t xml:space="preserve">NER and an AER binding guideline </w:t>
            </w:r>
            <w:proofErr w:type="gramStart"/>
            <w:r w:rsidRPr="008E7A48">
              <w:rPr>
                <w:rFonts w:cstheme="minorHAnsi"/>
                <w:color w:val="auto"/>
                <w:lang w:val="en-AU"/>
              </w:rPr>
              <w:t>are required</w:t>
            </w:r>
            <w:proofErr w:type="gramEnd"/>
            <w:r w:rsidRPr="008E7A48">
              <w:rPr>
                <w:rFonts w:cstheme="minorHAnsi"/>
                <w:color w:val="auto"/>
                <w:lang w:val="en-AU"/>
              </w:rPr>
              <w:t xml:space="preserve"> to address the issue?</w:t>
            </w:r>
          </w:p>
        </w:tc>
        <w:tc>
          <w:tcPr>
            <w:tcW w:w="8142" w:type="dxa"/>
            <w:tcBorders>
              <w:left w:val="single" w:sz="2" w:space="0" w:color="58595B" w:themeColor="accent4"/>
            </w:tcBorders>
          </w:tcPr>
          <w:p w14:paraId="64594422" w14:textId="77777777" w:rsidR="0015555C" w:rsidRPr="008E7A48" w:rsidRDefault="00712806" w:rsidP="00785222">
            <w:pPr>
              <w:pStyle w:val="AEMCTableBodyCopy"/>
              <w:rPr>
                <w:rStyle w:val="Hyperlink"/>
                <w:rFonts w:cstheme="minorHAnsi"/>
                <w:color w:val="auto"/>
              </w:rPr>
            </w:pPr>
            <w:r w:rsidRPr="008E7A48">
              <w:rPr>
                <w:rStyle w:val="Hyperlink"/>
                <w:rFonts w:cstheme="minorHAnsi"/>
                <w:color w:val="auto"/>
              </w:rPr>
              <w:fldChar w:fldCharType="begin">
                <w:ffData>
                  <w:name w:val="Text12"/>
                  <w:enabled/>
                  <w:calcOnExit w:val="0"/>
                  <w:textInput/>
                </w:ffData>
              </w:fldChar>
            </w:r>
            <w:bookmarkStart w:id="5" w:name="Text12"/>
            <w:r w:rsidRPr="008E7A48">
              <w:rPr>
                <w:rStyle w:val="Hyperlink"/>
                <w:rFonts w:cstheme="minorHAnsi"/>
                <w:color w:val="auto"/>
              </w:rPr>
              <w:instrText xml:space="preserve"> FORMTEXT </w:instrText>
            </w:r>
            <w:r w:rsidRPr="008E7A48">
              <w:rPr>
                <w:rStyle w:val="Hyperlink"/>
                <w:rFonts w:cstheme="minorHAnsi"/>
                <w:color w:val="auto"/>
              </w:rPr>
            </w:r>
            <w:r w:rsidRPr="008E7A48">
              <w:rPr>
                <w:rStyle w:val="Hyperlink"/>
                <w:rFonts w:cstheme="minorHAnsi"/>
                <w:color w:val="auto"/>
              </w:rPr>
              <w:fldChar w:fldCharType="separate"/>
            </w:r>
            <w:r w:rsidR="00865904" w:rsidRPr="008E7A48">
              <w:rPr>
                <w:rStyle w:val="Hyperlink"/>
                <w:rFonts w:cstheme="minorHAnsi"/>
                <w:noProof/>
                <w:color w:val="auto"/>
              </w:rPr>
              <w:t> </w:t>
            </w:r>
            <w:r w:rsidR="00865904" w:rsidRPr="008E7A48">
              <w:rPr>
                <w:rStyle w:val="Hyperlink"/>
                <w:rFonts w:cstheme="minorHAnsi"/>
                <w:noProof/>
                <w:color w:val="auto"/>
              </w:rPr>
              <w:t> </w:t>
            </w:r>
            <w:r w:rsidR="00865904" w:rsidRPr="008E7A48">
              <w:rPr>
                <w:rStyle w:val="Hyperlink"/>
                <w:rFonts w:cstheme="minorHAnsi"/>
                <w:noProof/>
                <w:color w:val="auto"/>
              </w:rPr>
              <w:t> </w:t>
            </w:r>
            <w:r w:rsidR="00865904" w:rsidRPr="008E7A48">
              <w:rPr>
                <w:rStyle w:val="Hyperlink"/>
                <w:rFonts w:cstheme="minorHAnsi"/>
                <w:noProof/>
                <w:color w:val="auto"/>
              </w:rPr>
              <w:t> </w:t>
            </w:r>
            <w:r w:rsidR="00865904" w:rsidRPr="008E7A48">
              <w:rPr>
                <w:rStyle w:val="Hyperlink"/>
                <w:rFonts w:cstheme="minorHAnsi"/>
                <w:noProof/>
                <w:color w:val="auto"/>
              </w:rPr>
              <w:t> </w:t>
            </w:r>
            <w:r w:rsidRPr="008E7A48">
              <w:rPr>
                <w:rStyle w:val="Hyperlink"/>
                <w:rFonts w:cstheme="minorHAnsi"/>
                <w:color w:val="auto"/>
              </w:rPr>
              <w:fldChar w:fldCharType="end"/>
            </w:r>
            <w:bookmarkEnd w:id="5"/>
          </w:p>
        </w:tc>
      </w:tr>
      <w:tr w:rsidR="008E7A48" w:rsidRPr="0000465F" w14:paraId="421EAAAA" w14:textId="77777777" w:rsidTr="008E7A48">
        <w:trPr>
          <w:trHeight w:val="715"/>
        </w:trPr>
        <w:tc>
          <w:tcPr>
            <w:tcW w:w="5160" w:type="dxa"/>
            <w:tcBorders>
              <w:right w:val="single" w:sz="2" w:space="0" w:color="58595B" w:themeColor="accent4"/>
            </w:tcBorders>
            <w:shd w:val="clear" w:color="auto" w:fill="F6F6F6"/>
          </w:tcPr>
          <w:p w14:paraId="2BF5FD46" w14:textId="4CCB266D" w:rsidR="008E7A48" w:rsidRPr="00113489" w:rsidRDefault="00113489" w:rsidP="00113489">
            <w:pPr>
              <w:pStyle w:val="AEMCTableBodyCopy"/>
              <w:rPr>
                <w:rFonts w:eastAsiaTheme="majorEastAsia" w:cstheme="minorHAnsi"/>
              </w:rPr>
            </w:pPr>
            <w:r w:rsidRPr="00113489">
              <w:rPr>
                <w:rFonts w:eastAsiaTheme="majorEastAsia" w:cstheme="minorHAnsi"/>
                <w:b/>
                <w:bCs/>
                <w:lang w:val="en-AU" w:bidi="th-TH"/>
              </w:rPr>
              <w:t>5. W</w:t>
            </w:r>
            <w:r w:rsidR="008E7A48" w:rsidRPr="00113489">
              <w:rPr>
                <w:rFonts w:eastAsiaTheme="majorEastAsia" w:cstheme="minorHAnsi"/>
                <w:b/>
                <w:bCs/>
                <w:lang w:val="en-AU" w:bidi="th-TH"/>
              </w:rPr>
              <w:t>hat are your views of the costs and benefits of the proposed solution?</w:t>
            </w:r>
          </w:p>
          <w:p w14:paraId="7DEF427B" w14:textId="77777777" w:rsidR="008E7A48" w:rsidRPr="004F3078" w:rsidRDefault="008E7A48" w:rsidP="008E7A48">
            <w:pPr>
              <w:pStyle w:val="AEMCTableBodyCopy"/>
              <w:ind w:left="284"/>
              <w:rPr>
                <w:rFonts w:eastAsiaTheme="majorEastAsia" w:cstheme="minorHAnsi"/>
                <w:color w:val="auto"/>
                <w:lang w:val="en-AU" w:bidi="th-TH"/>
              </w:rPr>
            </w:pPr>
            <w:r w:rsidRPr="004F3078">
              <w:rPr>
                <w:rFonts w:eastAsiaTheme="majorEastAsia" w:cstheme="minorHAnsi"/>
                <w:color w:val="auto"/>
                <w:lang w:val="en-AU" w:bidi="th-TH"/>
              </w:rPr>
              <w:t>(a) What do you consider will be the benefits and costs of the proposed solution?</w:t>
            </w:r>
          </w:p>
          <w:p w14:paraId="72D80990" w14:textId="77777777" w:rsidR="008E7A48" w:rsidRPr="004F3078" w:rsidRDefault="008E7A48" w:rsidP="008E7A48">
            <w:pPr>
              <w:pStyle w:val="AEMCTableBodyCopy"/>
              <w:ind w:left="284"/>
              <w:rPr>
                <w:rFonts w:eastAsiaTheme="majorEastAsia" w:cstheme="minorHAnsi"/>
                <w:color w:val="auto"/>
                <w:lang w:val="en-AU" w:bidi="th-TH"/>
              </w:rPr>
            </w:pPr>
            <w:r w:rsidRPr="004F3078">
              <w:rPr>
                <w:rFonts w:eastAsiaTheme="majorEastAsia" w:cstheme="minorHAnsi"/>
                <w:color w:val="auto"/>
                <w:lang w:val="en-AU" w:bidi="th-TH"/>
              </w:rPr>
              <w:t>(b) Do you consider the proposal appropriately allocates risk between DNSPs and consumers?</w:t>
            </w:r>
          </w:p>
          <w:p w14:paraId="2A64BA86" w14:textId="7C6B0E48" w:rsidR="008E7A48" w:rsidRPr="004F3078" w:rsidRDefault="008E7A48" w:rsidP="008E7A48">
            <w:pPr>
              <w:pStyle w:val="AEMCTableBodyCopy"/>
              <w:ind w:left="284"/>
              <w:rPr>
                <w:rStyle w:val="Hyperlink"/>
                <w:rFonts w:eastAsiaTheme="majorEastAsia" w:cstheme="minorHAnsi"/>
                <w:color w:val="auto"/>
              </w:rPr>
            </w:pPr>
            <w:r w:rsidRPr="004F3078">
              <w:rPr>
                <w:rFonts w:eastAsiaTheme="majorEastAsia" w:cstheme="minorHAnsi"/>
                <w:color w:val="auto"/>
                <w:lang w:val="en-AU" w:bidi="th-TH"/>
              </w:rPr>
              <w:t>(c) Is there anything the Commission could do in designing the rule that would help to minimise</w:t>
            </w:r>
            <w:r w:rsidRPr="004F3078">
              <w:rPr>
                <w:rFonts w:eastAsiaTheme="majorEastAsia" w:cstheme="minorHAnsi"/>
                <w:color w:val="auto"/>
                <w:lang w:val="en-AU" w:bidi="th-TH"/>
              </w:rPr>
              <w:t xml:space="preserve"> </w:t>
            </w:r>
            <w:r w:rsidRPr="004F3078">
              <w:rPr>
                <w:rFonts w:eastAsiaTheme="majorEastAsia" w:cstheme="minorHAnsi"/>
                <w:color w:val="auto"/>
                <w:lang w:val="en-AU" w:bidi="th-TH"/>
              </w:rPr>
              <w:t>the costs and maximise the benefits?</w:t>
            </w:r>
          </w:p>
        </w:tc>
        <w:tc>
          <w:tcPr>
            <w:tcW w:w="8142" w:type="dxa"/>
            <w:tcBorders>
              <w:left w:val="single" w:sz="2" w:space="0" w:color="58595B" w:themeColor="accent4"/>
            </w:tcBorders>
          </w:tcPr>
          <w:p w14:paraId="755467CA" w14:textId="77777777" w:rsidR="008E7A48" w:rsidRPr="008E7A48" w:rsidRDefault="008E7A48" w:rsidP="00785222">
            <w:pPr>
              <w:pStyle w:val="AEMCTableBodyCopy"/>
              <w:rPr>
                <w:rStyle w:val="Hyperlink"/>
                <w:rFonts w:cstheme="minorHAnsi"/>
                <w:color w:val="auto"/>
              </w:rPr>
            </w:pPr>
          </w:p>
        </w:tc>
      </w:tr>
      <w:tr w:rsidR="008E7A48" w:rsidRPr="0000465F" w14:paraId="61D8F243" w14:textId="77777777" w:rsidTr="008E7A48">
        <w:trPr>
          <w:trHeight w:val="715"/>
        </w:trPr>
        <w:tc>
          <w:tcPr>
            <w:tcW w:w="5160" w:type="dxa"/>
            <w:tcBorders>
              <w:right w:val="single" w:sz="2" w:space="0" w:color="58595B" w:themeColor="accent4"/>
            </w:tcBorders>
            <w:shd w:val="clear" w:color="auto" w:fill="F6F6F6"/>
          </w:tcPr>
          <w:p w14:paraId="29D11E83" w14:textId="4485C4F6" w:rsidR="004F3078" w:rsidRPr="004F3078" w:rsidRDefault="00113489" w:rsidP="00113489">
            <w:pPr>
              <w:pStyle w:val="AEMCTableBodyCopy"/>
              <w:rPr>
                <w:rStyle w:val="Hyperlink"/>
                <w:rFonts w:eastAsiaTheme="majorEastAsia" w:cstheme="minorHAnsi"/>
                <w:b/>
                <w:bCs/>
              </w:rPr>
            </w:pPr>
            <w:r w:rsidRPr="00113489">
              <w:rPr>
                <w:rFonts w:eastAsiaTheme="majorEastAsia" w:cstheme="minorHAnsi"/>
                <w:b/>
                <w:bCs/>
                <w:lang w:val="en-AU" w:bidi="th-TH"/>
              </w:rPr>
              <w:t>6. W</w:t>
            </w:r>
            <w:r w:rsidR="004F3078" w:rsidRPr="00113489">
              <w:rPr>
                <w:rFonts w:eastAsiaTheme="majorEastAsia" w:cstheme="minorHAnsi"/>
                <w:b/>
                <w:bCs/>
                <w:lang w:val="en-AU" w:bidi="th-TH"/>
              </w:rPr>
              <w:t xml:space="preserve">hat transitional arrangements would </w:t>
            </w:r>
            <w:proofErr w:type="gramStart"/>
            <w:r w:rsidR="004F3078" w:rsidRPr="00113489">
              <w:rPr>
                <w:rFonts w:eastAsiaTheme="majorEastAsia" w:cstheme="minorHAnsi"/>
                <w:b/>
                <w:bCs/>
                <w:lang w:val="en-AU" w:bidi="th-TH"/>
              </w:rPr>
              <w:t>be required</w:t>
            </w:r>
            <w:proofErr w:type="gramEnd"/>
            <w:r w:rsidR="004F3078" w:rsidRPr="00113489">
              <w:rPr>
                <w:rFonts w:eastAsiaTheme="majorEastAsia" w:cstheme="minorHAnsi"/>
                <w:b/>
                <w:bCs/>
                <w:lang w:val="en-AU" w:bidi="th-TH"/>
              </w:rPr>
              <w:t xml:space="preserve"> to implement the proposed</w:t>
            </w:r>
            <w:r w:rsidR="004F3078" w:rsidRPr="00113489">
              <w:rPr>
                <w:rFonts w:eastAsiaTheme="majorEastAsia" w:cstheme="minorHAnsi"/>
                <w:b/>
                <w:bCs/>
                <w:lang w:val="en-AU" w:bidi="th-TH"/>
              </w:rPr>
              <w:t xml:space="preserve"> </w:t>
            </w:r>
            <w:r w:rsidR="004F3078" w:rsidRPr="00113489">
              <w:rPr>
                <w:rFonts w:eastAsiaTheme="majorEastAsia" w:cstheme="minorHAnsi"/>
                <w:b/>
                <w:bCs/>
                <w:lang w:val="en-AU" w:bidi="th-TH"/>
              </w:rPr>
              <w:t>rule?</w:t>
            </w:r>
          </w:p>
        </w:tc>
        <w:tc>
          <w:tcPr>
            <w:tcW w:w="8142" w:type="dxa"/>
            <w:tcBorders>
              <w:left w:val="single" w:sz="2" w:space="0" w:color="58595B" w:themeColor="accent4"/>
            </w:tcBorders>
          </w:tcPr>
          <w:p w14:paraId="568C5D02" w14:textId="77777777" w:rsidR="008E7A48" w:rsidRPr="00785222" w:rsidRDefault="008E7A48" w:rsidP="00785222">
            <w:pPr>
              <w:pStyle w:val="AEMCTableBodyCopy"/>
              <w:rPr>
                <w:rStyle w:val="Hyperlink"/>
              </w:rPr>
            </w:pPr>
          </w:p>
        </w:tc>
      </w:tr>
      <w:tr w:rsidR="008E7A48" w:rsidRPr="0000465F" w14:paraId="170FA2F4" w14:textId="77777777" w:rsidTr="008E7A48">
        <w:trPr>
          <w:trHeight w:val="735"/>
        </w:trPr>
        <w:tc>
          <w:tcPr>
            <w:tcW w:w="5160" w:type="dxa"/>
            <w:tcBorders>
              <w:right w:val="single" w:sz="2" w:space="0" w:color="58595B" w:themeColor="accent4"/>
            </w:tcBorders>
            <w:shd w:val="clear" w:color="auto" w:fill="F6F6F6"/>
          </w:tcPr>
          <w:p w14:paraId="71D178BB" w14:textId="15CAE352" w:rsidR="004F3078" w:rsidRPr="004F3078" w:rsidRDefault="00113489" w:rsidP="00113489">
            <w:pPr>
              <w:pStyle w:val="AEMCTableBodyCopy"/>
              <w:rPr>
                <w:rStyle w:val="Hyperlink"/>
                <w:rFonts w:eastAsiaTheme="majorEastAsia" w:cstheme="minorHAnsi"/>
              </w:rPr>
            </w:pPr>
            <w:r w:rsidRPr="00113489">
              <w:rPr>
                <w:rFonts w:eastAsiaTheme="majorEastAsia" w:cstheme="minorHAnsi"/>
                <w:b/>
                <w:bCs/>
                <w:lang w:val="en-AU" w:bidi="th-TH"/>
              </w:rPr>
              <w:t xml:space="preserve">7. </w:t>
            </w:r>
            <w:r w:rsidR="004F3078" w:rsidRPr="00113489">
              <w:rPr>
                <w:rFonts w:eastAsiaTheme="majorEastAsia" w:cstheme="minorHAnsi"/>
                <w:b/>
                <w:bCs/>
                <w:lang w:val="en-AU" w:bidi="th-TH"/>
              </w:rPr>
              <w:t xml:space="preserve">Are there any interactions with the VNR that should be </w:t>
            </w:r>
            <w:proofErr w:type="gramStart"/>
            <w:r w:rsidR="004F3078" w:rsidRPr="00113489">
              <w:rPr>
                <w:rFonts w:eastAsiaTheme="majorEastAsia" w:cstheme="minorHAnsi"/>
                <w:b/>
                <w:bCs/>
                <w:lang w:val="en-AU" w:bidi="th-TH"/>
              </w:rPr>
              <w:t>taken into account</w:t>
            </w:r>
            <w:proofErr w:type="gramEnd"/>
            <w:r w:rsidR="004F3078" w:rsidRPr="00113489">
              <w:rPr>
                <w:rFonts w:eastAsiaTheme="majorEastAsia" w:cstheme="minorHAnsi"/>
                <w:b/>
                <w:bCs/>
                <w:lang w:val="en-AU" w:bidi="th-TH"/>
              </w:rPr>
              <w:t xml:space="preserve"> in the</w:t>
            </w:r>
            <w:r w:rsidR="004F3078" w:rsidRPr="00113489">
              <w:rPr>
                <w:rFonts w:eastAsiaTheme="majorEastAsia" w:cstheme="minorHAnsi"/>
                <w:b/>
                <w:bCs/>
                <w:lang w:val="en-AU" w:bidi="th-TH"/>
              </w:rPr>
              <w:t xml:space="preserve"> </w:t>
            </w:r>
            <w:r w:rsidR="004F3078" w:rsidRPr="00113489">
              <w:rPr>
                <w:rFonts w:eastAsiaTheme="majorEastAsia" w:cstheme="minorHAnsi"/>
                <w:b/>
                <w:bCs/>
                <w:lang w:val="en-AU" w:bidi="th-TH"/>
              </w:rPr>
              <w:t>NER?</w:t>
            </w:r>
          </w:p>
        </w:tc>
        <w:tc>
          <w:tcPr>
            <w:tcW w:w="8142" w:type="dxa"/>
            <w:tcBorders>
              <w:left w:val="single" w:sz="2" w:space="0" w:color="58595B" w:themeColor="accent4"/>
            </w:tcBorders>
          </w:tcPr>
          <w:p w14:paraId="0C11845D" w14:textId="77777777" w:rsidR="008E7A48" w:rsidRPr="00785222" w:rsidRDefault="008E7A48" w:rsidP="00785222">
            <w:pPr>
              <w:pStyle w:val="AEMCTableBodyCopy"/>
              <w:rPr>
                <w:rStyle w:val="Hyperlink"/>
              </w:rPr>
            </w:pPr>
          </w:p>
        </w:tc>
      </w:tr>
      <w:tr w:rsidR="008E7A48" w:rsidRPr="0000465F" w14:paraId="1ABAF770" w14:textId="77777777" w:rsidTr="008E7A48">
        <w:trPr>
          <w:trHeight w:val="715"/>
        </w:trPr>
        <w:tc>
          <w:tcPr>
            <w:tcW w:w="5160" w:type="dxa"/>
            <w:tcBorders>
              <w:right w:val="single" w:sz="2" w:space="0" w:color="58595B" w:themeColor="accent4"/>
            </w:tcBorders>
            <w:shd w:val="clear" w:color="auto" w:fill="F6F6F6"/>
          </w:tcPr>
          <w:p w14:paraId="482AF8AF" w14:textId="4317E18F" w:rsidR="004F3078" w:rsidRPr="00113489" w:rsidRDefault="00113489" w:rsidP="00113489">
            <w:pPr>
              <w:pStyle w:val="AEMCTableBodyCopy"/>
              <w:rPr>
                <w:rFonts w:eastAsiaTheme="majorEastAsia" w:cstheme="minorHAnsi"/>
              </w:rPr>
            </w:pPr>
            <w:r w:rsidRPr="00113489">
              <w:rPr>
                <w:rFonts w:eastAsiaTheme="majorEastAsia" w:cstheme="minorHAnsi"/>
                <w:b/>
                <w:bCs/>
                <w:lang w:val="en-AU" w:bidi="th-TH"/>
              </w:rPr>
              <w:t xml:space="preserve">8. </w:t>
            </w:r>
            <w:r w:rsidR="004F3078" w:rsidRPr="00113489">
              <w:rPr>
                <w:rFonts w:eastAsiaTheme="majorEastAsia" w:cstheme="minorHAnsi"/>
                <w:b/>
                <w:bCs/>
                <w:lang w:val="en-AU" w:bidi="th-TH"/>
              </w:rPr>
              <w:t>Are there alternative solutions to those proposed in the rule change request?</w:t>
            </w:r>
          </w:p>
          <w:p w14:paraId="219A0464" w14:textId="77777777" w:rsidR="004F3078" w:rsidRPr="004F3078" w:rsidRDefault="004F3078" w:rsidP="004F3078">
            <w:pPr>
              <w:pStyle w:val="AEMCTableBodyCopy"/>
              <w:ind w:left="284"/>
              <w:rPr>
                <w:rFonts w:eastAsiaTheme="majorEastAsia" w:cstheme="minorHAnsi"/>
                <w:color w:val="auto"/>
                <w:lang w:val="en-AU" w:bidi="th-TH"/>
              </w:rPr>
            </w:pPr>
            <w:r w:rsidRPr="004F3078">
              <w:rPr>
                <w:rFonts w:eastAsiaTheme="majorEastAsia" w:cstheme="minorHAnsi"/>
                <w:color w:val="auto"/>
                <w:lang w:val="en-AU" w:bidi="th-TH"/>
              </w:rPr>
              <w:t xml:space="preserve">(a) Do you consider that </w:t>
            </w:r>
            <w:proofErr w:type="gramStart"/>
            <w:r w:rsidRPr="004F3078">
              <w:rPr>
                <w:rFonts w:eastAsiaTheme="majorEastAsia" w:cstheme="minorHAnsi"/>
                <w:color w:val="auto"/>
                <w:lang w:val="en-AU" w:bidi="th-TH"/>
              </w:rPr>
              <w:t>more preferable</w:t>
            </w:r>
            <w:proofErr w:type="gramEnd"/>
            <w:r w:rsidRPr="004F3078">
              <w:rPr>
                <w:rFonts w:eastAsiaTheme="majorEastAsia" w:cstheme="minorHAnsi"/>
                <w:color w:val="auto"/>
                <w:lang w:val="en-AU" w:bidi="th-TH"/>
              </w:rPr>
              <w:t xml:space="preserve"> solutions exist to address the identified issue?</w:t>
            </w:r>
          </w:p>
          <w:p w14:paraId="6951ACA5" w14:textId="77777777" w:rsidR="004F3078" w:rsidRPr="004F3078" w:rsidRDefault="004F3078" w:rsidP="004F3078">
            <w:pPr>
              <w:pStyle w:val="AEMCTableBodyCopy"/>
              <w:ind w:left="284"/>
              <w:rPr>
                <w:rFonts w:eastAsiaTheme="majorEastAsia" w:cstheme="minorHAnsi"/>
                <w:color w:val="auto"/>
                <w:lang w:val="en-AU" w:bidi="th-TH"/>
              </w:rPr>
            </w:pPr>
            <w:r w:rsidRPr="004F3078">
              <w:rPr>
                <w:rFonts w:eastAsiaTheme="majorEastAsia" w:cstheme="minorHAnsi"/>
                <w:color w:val="auto"/>
                <w:lang w:val="en-AU" w:bidi="th-TH"/>
              </w:rPr>
              <w:t>(b) Should the rule change clarify the role of DNSPs in relation to providing resilience?</w:t>
            </w:r>
          </w:p>
          <w:p w14:paraId="4A61678A" w14:textId="620EE028" w:rsidR="004F3078" w:rsidRPr="004F3078" w:rsidRDefault="004F3078" w:rsidP="004F3078">
            <w:pPr>
              <w:pStyle w:val="AEMCTableBodyCopy"/>
              <w:ind w:left="284"/>
              <w:rPr>
                <w:rStyle w:val="Hyperlink"/>
                <w:rFonts w:eastAsiaTheme="majorEastAsia" w:cstheme="minorHAnsi"/>
              </w:rPr>
            </w:pPr>
            <w:r w:rsidRPr="004F3078">
              <w:rPr>
                <w:rFonts w:eastAsiaTheme="majorEastAsia" w:cstheme="minorHAnsi"/>
                <w:color w:val="auto"/>
                <w:lang w:val="en-AU" w:bidi="th-TH"/>
              </w:rPr>
              <w:lastRenderedPageBreak/>
              <w:t>(c) To what extent would the VNR, alongside the AER’s existing guidance note, resolve the issue</w:t>
            </w:r>
            <w:r w:rsidRPr="004F3078">
              <w:rPr>
                <w:rFonts w:eastAsiaTheme="majorEastAsia" w:cstheme="minorHAnsi"/>
                <w:color w:val="auto"/>
                <w:lang w:val="en-AU" w:bidi="th-TH"/>
              </w:rPr>
              <w:t xml:space="preserve"> </w:t>
            </w:r>
            <w:r w:rsidRPr="004F3078">
              <w:rPr>
                <w:rFonts w:eastAsiaTheme="majorEastAsia" w:cstheme="minorHAnsi"/>
                <w:color w:val="auto"/>
                <w:lang w:val="en-AU" w:bidi="th-TH"/>
              </w:rPr>
              <w:t>raised in the rule change request?</w:t>
            </w:r>
          </w:p>
        </w:tc>
        <w:tc>
          <w:tcPr>
            <w:tcW w:w="8142" w:type="dxa"/>
            <w:tcBorders>
              <w:left w:val="single" w:sz="2" w:space="0" w:color="58595B" w:themeColor="accent4"/>
            </w:tcBorders>
          </w:tcPr>
          <w:p w14:paraId="15CDFEF7" w14:textId="77777777" w:rsidR="008E7A48" w:rsidRPr="00785222" w:rsidRDefault="008E7A48" w:rsidP="00785222">
            <w:pPr>
              <w:pStyle w:val="AEMCTableBodyCopy"/>
              <w:rPr>
                <w:rStyle w:val="Hyperlink"/>
              </w:rPr>
            </w:pPr>
          </w:p>
        </w:tc>
      </w:tr>
    </w:tbl>
    <w:p w14:paraId="0B05927D" w14:textId="43D87EE6" w:rsidR="0015555C" w:rsidRDefault="0015555C" w:rsidP="0015555C">
      <w:pPr>
        <w:pStyle w:val="AEMCHeaderL4"/>
        <w:rPr>
          <w:rStyle w:val="Hyperlink"/>
        </w:rPr>
      </w:pPr>
      <w:r w:rsidRPr="0015555C">
        <w:rPr>
          <w:rStyle w:val="Hyperlink"/>
          <w:b/>
        </w:rPr>
        <w:t xml:space="preserve">CHAPTER </w:t>
      </w:r>
      <w:r w:rsidR="002B336A">
        <w:rPr>
          <w:rStyle w:val="Hyperlink"/>
          <w:b/>
        </w:rPr>
        <w:t>4</w:t>
      </w:r>
      <w:r>
        <w:rPr>
          <w:rStyle w:val="Hyperlink"/>
        </w:rPr>
        <w:t xml:space="preserve"> –</w:t>
      </w:r>
      <w:r w:rsidR="00C114E7">
        <w:rPr>
          <w:rStyle w:val="Hyperlink"/>
        </w:rPr>
        <w:t xml:space="preserve"> </w:t>
      </w:r>
      <w:r w:rsidR="002B336A" w:rsidRPr="002B336A">
        <w:rPr>
          <w:b/>
          <w:bCs/>
          <w:lang w:val="en-AU"/>
        </w:rPr>
        <w:t>Making our decision</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160"/>
        <w:gridCol w:w="8034"/>
      </w:tblGrid>
      <w:tr w:rsidR="0015555C" w:rsidRPr="0000465F" w14:paraId="7D514F62" w14:textId="77777777" w:rsidTr="002B336A">
        <w:trPr>
          <w:trHeight w:val="1025"/>
        </w:trPr>
        <w:tc>
          <w:tcPr>
            <w:tcW w:w="5160" w:type="dxa"/>
            <w:tcBorders>
              <w:top w:val="single" w:sz="18" w:space="0" w:color="00A8E5" w:themeColor="accent1"/>
              <w:right w:val="single" w:sz="2" w:space="0" w:color="58595B" w:themeColor="accent4"/>
            </w:tcBorders>
            <w:shd w:val="clear" w:color="auto" w:fill="F6F6F6"/>
          </w:tcPr>
          <w:p w14:paraId="5740C166" w14:textId="77777777" w:rsidR="00113489" w:rsidRDefault="00113489" w:rsidP="00113489">
            <w:pPr>
              <w:pStyle w:val="AEMCTableBodyCopy"/>
              <w:rPr>
                <w:rFonts w:asciiTheme="majorHAnsi" w:hAnsiTheme="majorHAnsi" w:cstheme="majorHAnsi"/>
                <w:color w:val="auto"/>
                <w:lang w:val="en-AU" w:bidi="th-TH"/>
              </w:rPr>
            </w:pPr>
            <w:r w:rsidRPr="00113489">
              <w:rPr>
                <w:rFonts w:asciiTheme="majorHAnsi" w:hAnsiTheme="majorHAnsi" w:cstheme="majorHAnsi"/>
                <w:b/>
                <w:bCs/>
                <w:lang w:val="en-AU"/>
              </w:rPr>
              <w:t>9. A</w:t>
            </w:r>
            <w:r w:rsidR="004F3078" w:rsidRPr="00113489">
              <w:rPr>
                <w:rFonts w:asciiTheme="majorHAnsi" w:hAnsiTheme="majorHAnsi" w:cstheme="majorHAnsi"/>
                <w:b/>
                <w:bCs/>
                <w:lang w:val="en-AU"/>
              </w:rPr>
              <w:t>ssessment framewor</w:t>
            </w:r>
            <w:r w:rsidR="004F3078" w:rsidRPr="00113489">
              <w:rPr>
                <w:rFonts w:asciiTheme="majorHAnsi" w:hAnsiTheme="majorHAnsi" w:cstheme="majorHAnsi"/>
                <w:b/>
                <w:bCs/>
                <w:lang w:val="en-AU"/>
              </w:rPr>
              <w:t xml:space="preserve">k: </w:t>
            </w:r>
          </w:p>
          <w:p w14:paraId="6FD18313" w14:textId="1B4593B8" w:rsidR="004F3078" w:rsidRPr="004F3078" w:rsidRDefault="004F3078" w:rsidP="00113489">
            <w:pPr>
              <w:pStyle w:val="AEMCTableBodyCopy"/>
              <w:rPr>
                <w:rStyle w:val="Hyperlink"/>
                <w:rFonts w:asciiTheme="majorHAnsi" w:hAnsiTheme="majorHAnsi" w:cstheme="majorHAnsi"/>
                <w:lang w:val="pt-BR"/>
              </w:rPr>
            </w:pPr>
            <w:r w:rsidRPr="004F3078">
              <w:rPr>
                <w:rFonts w:asciiTheme="majorHAnsi" w:hAnsiTheme="majorHAnsi" w:cstheme="majorHAnsi"/>
                <w:color w:val="auto"/>
                <w:lang w:val="en-AU" w:bidi="th-TH"/>
              </w:rPr>
              <w:t>Do you agree with the proposed assessment criteria? Are there</w:t>
            </w:r>
            <w:r w:rsidRPr="004F3078">
              <w:rPr>
                <w:rFonts w:asciiTheme="majorHAnsi" w:hAnsiTheme="majorHAnsi" w:cstheme="majorHAnsi"/>
                <w:color w:val="auto"/>
                <w:lang w:val="en-AU" w:bidi="th-TH"/>
              </w:rPr>
              <w:t xml:space="preserve"> </w:t>
            </w:r>
            <w:r w:rsidRPr="004F3078">
              <w:rPr>
                <w:rFonts w:asciiTheme="majorHAnsi" w:hAnsiTheme="majorHAnsi" w:cstheme="majorHAnsi"/>
                <w:color w:val="auto"/>
                <w:lang w:val="en-AU" w:bidi="th-TH"/>
              </w:rPr>
              <w:t>additional criteria that the</w:t>
            </w:r>
            <w:r w:rsidRPr="004F3078">
              <w:rPr>
                <w:rFonts w:asciiTheme="majorHAnsi" w:hAnsiTheme="majorHAnsi" w:cstheme="majorHAnsi"/>
                <w:color w:val="auto"/>
                <w:lang w:val="en-AU" w:bidi="th-TH"/>
              </w:rPr>
              <w:t xml:space="preserve"> </w:t>
            </w:r>
            <w:r w:rsidRPr="004F3078">
              <w:rPr>
                <w:rFonts w:asciiTheme="majorHAnsi" w:hAnsiTheme="majorHAnsi" w:cstheme="majorHAnsi"/>
                <w:color w:val="auto"/>
                <w:lang w:val="en-AU" w:bidi="th-TH"/>
              </w:rPr>
              <w:t xml:space="preserve">Commission should </w:t>
            </w:r>
            <w:proofErr w:type="gramStart"/>
            <w:r w:rsidRPr="004F3078">
              <w:rPr>
                <w:rFonts w:asciiTheme="majorHAnsi" w:hAnsiTheme="majorHAnsi" w:cstheme="majorHAnsi"/>
                <w:color w:val="auto"/>
                <w:lang w:val="en-AU" w:bidi="th-TH"/>
              </w:rPr>
              <w:t>consider</w:t>
            </w:r>
            <w:proofErr w:type="gramEnd"/>
            <w:r w:rsidRPr="004F3078">
              <w:rPr>
                <w:rFonts w:asciiTheme="majorHAnsi" w:hAnsiTheme="majorHAnsi" w:cstheme="majorHAnsi"/>
                <w:color w:val="auto"/>
                <w:lang w:val="en-AU" w:bidi="th-TH"/>
              </w:rPr>
              <w:t xml:space="preserve"> or criteria included here that are not relevant?</w:t>
            </w:r>
          </w:p>
        </w:tc>
        <w:tc>
          <w:tcPr>
            <w:tcW w:w="8034" w:type="dxa"/>
            <w:tcBorders>
              <w:top w:val="single" w:sz="18" w:space="0" w:color="00A8E5" w:themeColor="accent1"/>
              <w:left w:val="single" w:sz="2" w:space="0" w:color="58595B" w:themeColor="accent4"/>
            </w:tcBorders>
          </w:tcPr>
          <w:p w14:paraId="539E5C8C" w14:textId="77777777" w:rsidR="0015555C" w:rsidRPr="004F3078" w:rsidRDefault="00712806" w:rsidP="00785222">
            <w:pPr>
              <w:pStyle w:val="AEMCTableBodyCopy"/>
              <w:rPr>
                <w:rStyle w:val="Hyperlink"/>
                <w:rFonts w:asciiTheme="majorHAnsi" w:hAnsiTheme="majorHAnsi" w:cstheme="majorHAnsi"/>
              </w:rPr>
            </w:pPr>
            <w:r w:rsidRPr="004F3078">
              <w:rPr>
                <w:rStyle w:val="Hyperlink"/>
                <w:rFonts w:asciiTheme="majorHAnsi" w:hAnsiTheme="majorHAnsi" w:cstheme="majorHAnsi"/>
              </w:rPr>
              <w:fldChar w:fldCharType="begin">
                <w:ffData>
                  <w:name w:val="Text13"/>
                  <w:enabled/>
                  <w:calcOnExit w:val="0"/>
                  <w:textInput/>
                </w:ffData>
              </w:fldChar>
            </w:r>
            <w:bookmarkStart w:id="6" w:name="Text13"/>
            <w:r w:rsidRPr="004F3078">
              <w:rPr>
                <w:rStyle w:val="Hyperlink"/>
                <w:rFonts w:asciiTheme="majorHAnsi" w:hAnsiTheme="majorHAnsi" w:cstheme="majorHAnsi"/>
              </w:rPr>
              <w:instrText xml:space="preserve"> FORMTEXT </w:instrText>
            </w:r>
            <w:r w:rsidRPr="004F3078">
              <w:rPr>
                <w:rStyle w:val="Hyperlink"/>
                <w:rFonts w:asciiTheme="majorHAnsi" w:hAnsiTheme="majorHAnsi" w:cstheme="majorHAnsi"/>
              </w:rPr>
            </w:r>
            <w:r w:rsidRPr="004F3078">
              <w:rPr>
                <w:rStyle w:val="Hyperlink"/>
                <w:rFonts w:asciiTheme="majorHAnsi" w:hAnsiTheme="majorHAnsi" w:cstheme="majorHAnsi"/>
              </w:rPr>
              <w:fldChar w:fldCharType="separate"/>
            </w:r>
            <w:r w:rsidR="00865904" w:rsidRPr="004F3078">
              <w:rPr>
                <w:rStyle w:val="Hyperlink"/>
                <w:rFonts w:asciiTheme="majorHAnsi" w:hAnsiTheme="majorHAnsi" w:cstheme="majorHAnsi"/>
                <w:noProof/>
              </w:rPr>
              <w:t> </w:t>
            </w:r>
            <w:r w:rsidR="00865904" w:rsidRPr="004F3078">
              <w:rPr>
                <w:rStyle w:val="Hyperlink"/>
                <w:rFonts w:asciiTheme="majorHAnsi" w:hAnsiTheme="majorHAnsi" w:cstheme="majorHAnsi"/>
                <w:noProof/>
              </w:rPr>
              <w:t> </w:t>
            </w:r>
            <w:r w:rsidR="00865904" w:rsidRPr="004F3078">
              <w:rPr>
                <w:rStyle w:val="Hyperlink"/>
                <w:rFonts w:asciiTheme="majorHAnsi" w:hAnsiTheme="majorHAnsi" w:cstheme="majorHAnsi"/>
                <w:noProof/>
              </w:rPr>
              <w:t> </w:t>
            </w:r>
            <w:r w:rsidR="00865904" w:rsidRPr="004F3078">
              <w:rPr>
                <w:rStyle w:val="Hyperlink"/>
                <w:rFonts w:asciiTheme="majorHAnsi" w:hAnsiTheme="majorHAnsi" w:cstheme="majorHAnsi"/>
                <w:noProof/>
              </w:rPr>
              <w:t> </w:t>
            </w:r>
            <w:r w:rsidR="00865904" w:rsidRPr="004F3078">
              <w:rPr>
                <w:rStyle w:val="Hyperlink"/>
                <w:rFonts w:asciiTheme="majorHAnsi" w:hAnsiTheme="majorHAnsi" w:cstheme="majorHAnsi"/>
                <w:noProof/>
              </w:rPr>
              <w:t> </w:t>
            </w:r>
            <w:r w:rsidRPr="004F3078">
              <w:rPr>
                <w:rStyle w:val="Hyperlink"/>
                <w:rFonts w:asciiTheme="majorHAnsi" w:hAnsiTheme="majorHAnsi" w:cstheme="majorHAnsi"/>
              </w:rPr>
              <w:fldChar w:fldCharType="end"/>
            </w:r>
            <w:bookmarkEnd w:id="6"/>
          </w:p>
        </w:tc>
      </w:tr>
    </w:tbl>
    <w:p w14:paraId="1BB46514" w14:textId="77777777" w:rsidR="00C114E7" w:rsidRPr="0015555C" w:rsidRDefault="00C114E7" w:rsidP="0015555C">
      <w:pPr>
        <w:pStyle w:val="AEMCBodyCopy"/>
      </w:pPr>
    </w:p>
    <w:sectPr w:rsidR="00C114E7" w:rsidRPr="0015555C" w:rsidSect="008E7A48">
      <w:pgSz w:w="16840" w:h="11901" w:orient="landscape"/>
      <w:pgMar w:top="2552" w:right="2835" w:bottom="1418" w:left="851"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6D8E3" w14:textId="77777777" w:rsidR="00133A36" w:rsidRDefault="00133A36" w:rsidP="00E768E2">
      <w:r>
        <w:separator/>
      </w:r>
    </w:p>
    <w:p w14:paraId="452B4A51" w14:textId="77777777" w:rsidR="00133A36" w:rsidRDefault="00133A36" w:rsidP="00E768E2"/>
    <w:p w14:paraId="28CEE034" w14:textId="77777777" w:rsidR="00133A36" w:rsidRDefault="00133A36" w:rsidP="00E768E2"/>
    <w:p w14:paraId="237BF3B9" w14:textId="77777777" w:rsidR="00133A36" w:rsidRDefault="00133A36" w:rsidP="00E768E2"/>
    <w:p w14:paraId="6541C8F6" w14:textId="77777777" w:rsidR="00133A36" w:rsidRDefault="00133A36"/>
    <w:p w14:paraId="27C76D85" w14:textId="77777777" w:rsidR="00133A36" w:rsidRDefault="00133A36"/>
  </w:endnote>
  <w:endnote w:type="continuationSeparator" w:id="0">
    <w:p w14:paraId="1ABC6F9B" w14:textId="77777777" w:rsidR="00133A36" w:rsidRDefault="00133A36" w:rsidP="00E768E2">
      <w:r>
        <w:continuationSeparator/>
      </w:r>
    </w:p>
    <w:p w14:paraId="4A12565D" w14:textId="77777777" w:rsidR="00133A36" w:rsidRDefault="00133A36" w:rsidP="00E768E2"/>
    <w:p w14:paraId="3C880B72" w14:textId="77777777" w:rsidR="00133A36" w:rsidRDefault="00133A36" w:rsidP="00E768E2"/>
    <w:p w14:paraId="4A2BF033" w14:textId="77777777" w:rsidR="00133A36" w:rsidRDefault="00133A36" w:rsidP="00E768E2"/>
    <w:p w14:paraId="12AAC1ED" w14:textId="77777777" w:rsidR="00133A36" w:rsidRDefault="00133A36"/>
    <w:p w14:paraId="3BDE5C11" w14:textId="77777777" w:rsidR="00133A36" w:rsidRDefault="00133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Body CS)">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1CCF4"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6B22"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B920A" w14:textId="77777777" w:rsidR="00133A36" w:rsidRDefault="00133A36">
      <w:r>
        <w:separator/>
      </w:r>
    </w:p>
  </w:footnote>
  <w:footnote w:type="continuationSeparator" w:id="0">
    <w:p w14:paraId="6ABCB0A2" w14:textId="77777777" w:rsidR="00133A36" w:rsidRDefault="00133A36" w:rsidP="00E768E2">
      <w:r>
        <w:continuationSeparator/>
      </w:r>
    </w:p>
    <w:p w14:paraId="63D11FE6" w14:textId="77777777" w:rsidR="00133A36" w:rsidRDefault="00133A36" w:rsidP="00E768E2"/>
    <w:p w14:paraId="68C1ADB8" w14:textId="77777777" w:rsidR="00133A36" w:rsidRDefault="00133A36" w:rsidP="00E768E2"/>
    <w:p w14:paraId="69324CA6" w14:textId="77777777" w:rsidR="00133A36" w:rsidRDefault="00133A36" w:rsidP="00E768E2"/>
    <w:p w14:paraId="49B37038" w14:textId="77777777" w:rsidR="00133A36" w:rsidRDefault="00133A36"/>
    <w:p w14:paraId="03E4EE1D" w14:textId="77777777" w:rsidR="00133A36" w:rsidRDefault="00133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46"/>
    </w:tblGrid>
    <w:tr w:rsidR="00D260FB" w14:paraId="43F23E04" w14:textId="77777777" w:rsidTr="00C14DB5">
      <w:trPr>
        <w:trHeight w:val="680"/>
      </w:trPr>
      <w:tc>
        <w:tcPr>
          <w:tcW w:w="8147" w:type="dxa"/>
        </w:tcPr>
        <w:p w14:paraId="08645543" w14:textId="77777777" w:rsidR="00D260FB" w:rsidRPr="00D260FB" w:rsidRDefault="005E638A" w:rsidP="00D260FB">
          <w:pPr>
            <w:pStyle w:val="Header"/>
            <w:ind w:left="85"/>
            <w:rPr>
              <w:b/>
              <w:lang w:val="en-AU"/>
            </w:rPr>
          </w:pPr>
          <w:r>
            <w:rPr>
              <w:b/>
              <w:lang w:val="en-AU"/>
            </w:rPr>
            <w:t>Stakeholder feedback</w:t>
          </w:r>
        </w:p>
        <w:p w14:paraId="0C279C0C" w14:textId="77777777" w:rsidR="00D260FB" w:rsidRPr="00C114E7" w:rsidRDefault="005E638A" w:rsidP="00D260FB">
          <w:pPr>
            <w:pStyle w:val="Header"/>
            <w:ind w:left="85"/>
            <w:rPr>
              <w:highlight w:val="yellow"/>
              <w:lang w:val="en-AU"/>
            </w:rPr>
          </w:pPr>
          <w:r w:rsidRPr="00C114E7">
            <w:rPr>
              <w:highlight w:val="yellow"/>
              <w:lang w:val="en-AU"/>
            </w:rPr>
            <w:t>Name of submission here</w:t>
          </w:r>
        </w:p>
        <w:p w14:paraId="669A2E61" w14:textId="77777777" w:rsidR="00D260FB" w:rsidRDefault="00C114E7" w:rsidP="00D260FB">
          <w:pPr>
            <w:pStyle w:val="Header"/>
            <w:ind w:left="85"/>
            <w:rPr>
              <w:lang w:val="en-AU"/>
            </w:rPr>
          </w:pPr>
          <w:r w:rsidRPr="00C114E7">
            <w:rPr>
              <w:highlight w:val="yellow"/>
              <w:lang w:val="en-AU"/>
            </w:rPr>
            <w:t>XX Month 2019</w:t>
          </w:r>
        </w:p>
      </w:tc>
    </w:tr>
  </w:tbl>
  <w:p w14:paraId="3F42062E"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752" behindDoc="1" locked="0" layoutInCell="1" allowOverlap="1" wp14:anchorId="383AA43A" wp14:editId="3CBB1BC3">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AA43A" id="_x0000_t202" coordsize="21600,21600" o:spt="202" path="m,l,21600r21600,l21600,xe">
              <v:stroke joinstyle="miter"/>
              <v:path gradientshapeok="t" o:connecttype="rect"/>
            </v:shapetype>
            <v:shape id="Text Box 3" o:spid="_x0000_s1026" type="#_x0000_t202" style="position:absolute;margin-left:56.65pt;margin-top:44pt;width:68pt;height: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" filled="f" stroked="f" strokeweight=".5pt">
              <v:textbox inset="0,0,0,0">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EB566"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60800" behindDoc="1" locked="0" layoutInCell="1" allowOverlap="0" wp14:anchorId="7124E7BF" wp14:editId="2FDB7769">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9002E3"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" o:allowoverlap="f" strokecolor="#00a8e5 [3204]" strokeweight="1.5pt">
              <w10:wrap anchorx="page" anchory="page"/>
            </v:line>
          </w:pict>
        </mc:Fallback>
      </mc:AlternateContent>
    </w:r>
    <w:r w:rsidR="00F73126">
      <w:rPr>
        <w:noProof/>
        <w:lang w:val="en-AU" w:eastAsia="en-AU"/>
      </w:rPr>
      <w:drawing>
        <wp:inline distT="0" distB="0" distL="0" distR="0" wp14:anchorId="1180B5B6" wp14:editId="11C7D44C">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4154"/>
    <w:multiLevelType w:val="hybridMultilevel"/>
    <w:tmpl w:val="E772B5D6"/>
    <w:lvl w:ilvl="0" w:tplc="F7528F52">
      <w:start w:val="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9057A8"/>
    <w:multiLevelType w:val="hybridMultilevel"/>
    <w:tmpl w:val="C756E9AC"/>
    <w:lvl w:ilvl="0" w:tplc="1E6ECC36">
      <w:start w:val="1"/>
      <w:numFmt w:val="decimal"/>
      <w:lvlText w:val="%1."/>
      <w:lvlJc w:val="left"/>
      <w:pPr>
        <w:ind w:left="720" w:hanging="360"/>
      </w:pPr>
      <w:rPr>
        <w:rFonts w:asciiTheme="majorHAnsi" w:hAnsiTheme="majorHAnsi" w:cstheme="maj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FA780D"/>
    <w:multiLevelType w:val="hybridMultilevel"/>
    <w:tmpl w:val="0BEA666E"/>
    <w:lvl w:ilvl="0" w:tplc="AFF031E8">
      <w:start w:val="2"/>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54F90EE3"/>
    <w:multiLevelType w:val="hybridMultilevel"/>
    <w:tmpl w:val="F178241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FDA5CE6"/>
    <w:multiLevelType w:val="hybridMultilevel"/>
    <w:tmpl w:val="E4F8944C"/>
    <w:lvl w:ilvl="0" w:tplc="0F94E7D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749E13D0"/>
    <w:multiLevelType w:val="hybridMultilevel"/>
    <w:tmpl w:val="143A5C0E"/>
    <w:lvl w:ilvl="0" w:tplc="3770165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8860513">
    <w:abstractNumId w:val="9"/>
  </w:num>
  <w:num w:numId="2" w16cid:durableId="1829635339">
    <w:abstractNumId w:val="5"/>
  </w:num>
  <w:num w:numId="3" w16cid:durableId="1601402807">
    <w:abstractNumId w:val="3"/>
  </w:num>
  <w:num w:numId="4" w16cid:durableId="2099909205">
    <w:abstractNumId w:val="4"/>
  </w:num>
  <w:num w:numId="5" w16cid:durableId="1962492992">
    <w:abstractNumId w:val="10"/>
  </w:num>
  <w:num w:numId="6" w16cid:durableId="1825926473">
    <w:abstractNumId w:val="13"/>
  </w:num>
  <w:num w:numId="7" w16cid:durableId="829176880">
    <w:abstractNumId w:val="6"/>
  </w:num>
  <w:num w:numId="8" w16cid:durableId="71708049">
    <w:abstractNumId w:val="6"/>
    <w:lvlOverride w:ilvl="0">
      <w:startOverride w:val="1"/>
    </w:lvlOverride>
  </w:num>
  <w:num w:numId="9" w16cid:durableId="1697851166">
    <w:abstractNumId w:val="14"/>
  </w:num>
  <w:num w:numId="10" w16cid:durableId="1237326459">
    <w:abstractNumId w:val="1"/>
  </w:num>
  <w:num w:numId="11" w16cid:durableId="1880703821">
    <w:abstractNumId w:val="15"/>
  </w:num>
  <w:num w:numId="12" w16cid:durableId="1353065574">
    <w:abstractNumId w:val="11"/>
  </w:num>
  <w:num w:numId="13" w16cid:durableId="826047299">
    <w:abstractNumId w:val="12"/>
  </w:num>
  <w:num w:numId="14" w16cid:durableId="564726342">
    <w:abstractNumId w:val="7"/>
  </w:num>
  <w:num w:numId="15" w16cid:durableId="2100368357">
    <w:abstractNumId w:val="8"/>
  </w:num>
  <w:num w:numId="16" w16cid:durableId="387386491">
    <w:abstractNumId w:val="2"/>
  </w:num>
  <w:num w:numId="17" w16cid:durableId="153511785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51EA"/>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97D99"/>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489"/>
    <w:rsid w:val="00113FFD"/>
    <w:rsid w:val="001169DC"/>
    <w:rsid w:val="001207ED"/>
    <w:rsid w:val="00122AB9"/>
    <w:rsid w:val="001239CC"/>
    <w:rsid w:val="0012499B"/>
    <w:rsid w:val="00125D9B"/>
    <w:rsid w:val="001267DD"/>
    <w:rsid w:val="00127C9B"/>
    <w:rsid w:val="00132C57"/>
    <w:rsid w:val="00133A36"/>
    <w:rsid w:val="00135A43"/>
    <w:rsid w:val="00135E9D"/>
    <w:rsid w:val="00136E3D"/>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1EA"/>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336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3F6D01"/>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078"/>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1CE8"/>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67C70"/>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362C"/>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65B"/>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E7A48"/>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172"/>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13DE"/>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7C5"/>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53612"/>
  <w15:docId w15:val="{F4DDB077-970D-428B-8190-B8869180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moraes\aemc.gov.au\Knowledge%20Bank%20-%20Documents\9%20Tools%20and%20templates\Templates\Submissions%20-%20stakeholder%20feedback%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DEA560A20C7247A9D903061928A0A8" ma:contentTypeVersion="17" ma:contentTypeDescription="Create a new document." ma:contentTypeScope="" ma:versionID="998a0767d1fa51055c9fa948e324f6dc">
  <xsd:schema xmlns:xsd="http://www.w3.org/2001/XMLSchema" xmlns:xs="http://www.w3.org/2001/XMLSchema" xmlns:p="http://schemas.microsoft.com/office/2006/metadata/properties" xmlns:ns2="f43145c1-45e0-4a2f-8037-5969aec2b469" xmlns:ns3="2911cd5d-031b-450a-bc92-0031f4cf5792" targetNamespace="http://schemas.microsoft.com/office/2006/metadata/properties" ma:root="true" ma:fieldsID="497e4128ca119238b310a57e4448c02e" ns2:_="" ns3:_="">
    <xsd:import namespace="f43145c1-45e0-4a2f-8037-5969aec2b469"/>
    <xsd:import namespace="2911cd5d-031b-450a-bc92-0031f4cf57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5c1-45e0-4a2f-8037-5969aec2b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40d37ff-4b49-4a0e-9639-cf9ee044ed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1cd5d-031b-450a-bc92-0031f4cf57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d250d8f-39e7-4874-b18e-9930bf4c1f51}" ma:internalName="TaxCatchAll" ma:showField="CatchAllData" ma:web="2911cd5d-031b-450a-bc92-0031f4cf5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3145c1-45e0-4a2f-8037-5969aec2b469">
      <Terms xmlns="http://schemas.microsoft.com/office/infopath/2007/PartnerControls"/>
    </lcf76f155ced4ddcb4097134ff3c332f>
    <Date xmlns="f43145c1-45e0-4a2f-8037-5969aec2b469" xsi:nil="true"/>
    <TaxCatchAll xmlns="2911cd5d-031b-450a-bc92-0031f4cf5792"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46F0E7A-282F-44FB-AD0D-0354B79A2751}">
  <ds:schemaRefs>
    <ds:schemaRef ds:uri="http://schemas.microsoft.com/sharepoint/v3/contenttype/forms"/>
  </ds:schemaRefs>
</ds:datastoreItem>
</file>

<file path=customXml/itemProps2.xml><?xml version="1.0" encoding="utf-8"?>
<ds:datastoreItem xmlns:ds="http://schemas.openxmlformats.org/officeDocument/2006/customXml" ds:itemID="{B5C020EB-BC26-46C0-BA29-4B512C2D2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5c1-45e0-4a2f-8037-5969aec2b469"/>
    <ds:schemaRef ds:uri="2911cd5d-031b-450a-bc92-0031f4cf5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4.xml><?xml version="1.0" encoding="utf-8"?>
<ds:datastoreItem xmlns:ds="http://schemas.openxmlformats.org/officeDocument/2006/customXml" ds:itemID="{5510B11F-E2CB-4442-896A-6A0152720112}">
  <ds:schemaRefs>
    <ds:schemaRef ds:uri="http://schemas.microsoft.com/office/2006/metadata/properties"/>
    <ds:schemaRef ds:uri="http://schemas.microsoft.com/office/infopath/2007/PartnerControls"/>
    <ds:schemaRef ds:uri="f43145c1-45e0-4a2f-8037-5969aec2b469"/>
    <ds:schemaRef ds:uri="2911cd5d-031b-450a-bc92-0031f4cf5792"/>
  </ds:schemaRefs>
</ds:datastoreItem>
</file>

<file path=customXml/itemProps5.xml><?xml version="1.0" encoding="utf-8"?>
<ds:datastoreItem xmlns:ds="http://schemas.openxmlformats.org/officeDocument/2006/customXml" ds:itemID="{A8CA5410-75D1-45C4-AF36-1B450B5D295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Submissions - stakeholder feedback template</Template>
  <TotalTime>42</TotalTime>
  <Pages>4</Pages>
  <Words>648</Words>
  <Characters>3478</Characters>
  <Application>Microsoft Office Word</Application>
  <DocSecurity>0</DocSecurity>
  <Lines>119</Lines>
  <Paragraphs>67</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4059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Daniela Moraes</dc:creator>
  <cp:lastModifiedBy>Andrew Pirie</cp:lastModifiedBy>
  <cp:revision>4</cp:revision>
  <cp:lastPrinted>2016-04-17T05:54:00Z</cp:lastPrinted>
  <dcterms:created xsi:type="dcterms:W3CDTF">2024-10-01T03:31:00Z</dcterms:created>
  <dcterms:modified xsi:type="dcterms:W3CDTF">2024-10-01T04:11:00Z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0x0101004EDEA560A20C7247A9D903061928A0A8</vt:lpwstr>
  </property>
  <property fmtid="{D5CDD505-2E9C-101B-9397-08002B2CF9AE}" pid="3" name="GrammarlyDocumentId">
    <vt:lpwstr>3608ce38-1c43-46b7-ac55-16f9867534c2</vt:lpwstr>
  </property>
  <property fmtid="{D5CDD505-2E9C-101B-9397-08002B2CF9AE}" pid="4" name="MediaServiceImageTags">
    <vt:lpwstr/>
  </property>
</Properties>
</file>