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46ADA" w14:textId="77777777" w:rsidR="00EF0E19" w:rsidRDefault="00EF0E19" w:rsidP="00F97CD9">
      <w:pPr>
        <w:pStyle w:val="AERbodytextnospace"/>
        <w:numPr>
          <w:ilvl w:val="0"/>
          <w:numId w:val="13"/>
        </w:numPr>
      </w:pPr>
      <w:r w:rsidRPr="00824CC8">
        <w:rPr>
          <w:noProof/>
          <w:lang w:eastAsia="en-AU"/>
        </w:rPr>
        <w:drawing>
          <wp:anchor distT="0" distB="0" distL="114300" distR="114300" simplePos="0" relativeHeight="251663360" behindDoc="1" locked="0" layoutInCell="1" allowOverlap="1" wp14:anchorId="28FCCFC0" wp14:editId="05BAD3B8">
            <wp:simplePos x="0" y="0"/>
            <wp:positionH relativeFrom="column">
              <wp:posOffset>-926097</wp:posOffset>
            </wp:positionH>
            <wp:positionV relativeFrom="paragraph">
              <wp:posOffset>-925033</wp:posOffset>
            </wp:positionV>
            <wp:extent cx="7576244" cy="10706986"/>
            <wp:effectExtent l="19050" t="0" r="5656" b="0"/>
            <wp:wrapNone/>
            <wp:docPr id="39"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8" cstate="print"/>
                    <a:srcRect/>
                    <a:stretch>
                      <a:fillRect/>
                    </a:stretch>
                  </pic:blipFill>
                  <pic:spPr bwMode="auto">
                    <a:xfrm>
                      <a:off x="0" y="0"/>
                      <a:ext cx="7576244" cy="10706986"/>
                    </a:xfrm>
                    <a:prstGeom prst="rect">
                      <a:avLst/>
                    </a:prstGeom>
                    <a:noFill/>
                    <a:ln w="9525">
                      <a:noFill/>
                      <a:miter lim="800000"/>
                      <a:headEnd/>
                      <a:tailEnd/>
                    </a:ln>
                  </pic:spPr>
                </pic:pic>
              </a:graphicData>
            </a:graphic>
          </wp:anchor>
        </w:drawing>
      </w:r>
    </w:p>
    <w:p w14:paraId="6243F054" w14:textId="77777777" w:rsidR="00EF0E19" w:rsidRDefault="00EF0E19" w:rsidP="00EF0E19"/>
    <w:p w14:paraId="6367BD20" w14:textId="77777777" w:rsidR="00EF0E19" w:rsidRDefault="00EF0E19" w:rsidP="00EF0E19"/>
    <w:p w14:paraId="1DCF6312" w14:textId="77777777" w:rsidR="00EF0E19" w:rsidRDefault="00EF0E19" w:rsidP="00EF0E19">
      <w:bookmarkStart w:id="0" w:name="OLE_LINK1"/>
      <w:bookmarkStart w:id="1" w:name="OLE_LINK2"/>
    </w:p>
    <w:p w14:paraId="38187957" w14:textId="77777777" w:rsidR="00EF0E19" w:rsidRDefault="00EF0E19" w:rsidP="00EF0E19"/>
    <w:p w14:paraId="1DF3C33E" w14:textId="77777777" w:rsidR="00EF0E19" w:rsidRDefault="00EF0E19" w:rsidP="00EF0E19"/>
    <w:p w14:paraId="2B95E3B0" w14:textId="77777777" w:rsidR="00EF0E19" w:rsidRDefault="00EF0E19" w:rsidP="00EF0E19"/>
    <w:p w14:paraId="304C9953" w14:textId="77777777" w:rsidR="00EF0E19" w:rsidRDefault="00EF0E19" w:rsidP="00EF0E19"/>
    <w:p w14:paraId="05A2DC73" w14:textId="77777777" w:rsidR="00EF0E19" w:rsidRDefault="00EB25FB" w:rsidP="00EF0E19">
      <w:pPr>
        <w:pStyle w:val="AERtitle1"/>
      </w:pPr>
      <w:r>
        <w:t>Multinet Gas (DB No. 1) Pty Ltd</w:t>
      </w:r>
    </w:p>
    <w:p w14:paraId="53EFCC57" w14:textId="77777777" w:rsidR="00EB25FB" w:rsidRDefault="00EB25FB" w:rsidP="00EF0E19">
      <w:pPr>
        <w:pStyle w:val="AERtitle1"/>
      </w:pPr>
      <w:r>
        <w:t>Multinet Gas (DB No. 2) Pty Ltd</w:t>
      </w:r>
    </w:p>
    <w:p w14:paraId="317F1806" w14:textId="77777777" w:rsidR="00EF0E19" w:rsidRDefault="00EB25FB" w:rsidP="00EF0E19">
      <w:pPr>
        <w:pStyle w:val="AERtitle1"/>
      </w:pPr>
      <w:r>
        <w:t>2013–17 Access arrangement</w:t>
      </w:r>
    </w:p>
    <w:p w14:paraId="73C95FAA" w14:textId="77777777" w:rsidR="00EB25FB" w:rsidRDefault="0003487B" w:rsidP="00EF0E19">
      <w:pPr>
        <w:pStyle w:val="AERtitle1"/>
      </w:pPr>
      <w:r>
        <w:t>Opening capital base</w:t>
      </w:r>
    </w:p>
    <w:p w14:paraId="0F67F386" w14:textId="77777777" w:rsidR="005E5154" w:rsidRDefault="005E5154" w:rsidP="00EF0E19">
      <w:pPr>
        <w:pStyle w:val="AERtitle1"/>
      </w:pPr>
    </w:p>
    <w:p w14:paraId="21F60B69" w14:textId="77777777" w:rsidR="005E5154" w:rsidRDefault="005E5154" w:rsidP="00EF0E19">
      <w:pPr>
        <w:pStyle w:val="AERtitle1"/>
      </w:pPr>
      <w:r>
        <w:t>Decision</w:t>
      </w:r>
    </w:p>
    <w:p w14:paraId="772089AB" w14:textId="77777777" w:rsidR="00EF0E19" w:rsidRDefault="00EF0E19" w:rsidP="00EF0E19"/>
    <w:p w14:paraId="364E4CBF" w14:textId="77777777" w:rsidR="00EF0E19" w:rsidRDefault="00EF0E19" w:rsidP="00EF0E19"/>
    <w:p w14:paraId="74E31D51" w14:textId="77777777" w:rsidR="00EF0E19" w:rsidRPr="00F6235D" w:rsidRDefault="00EF0E19" w:rsidP="00EF0E19"/>
    <w:bookmarkEnd w:id="0"/>
    <w:bookmarkEnd w:id="1"/>
    <w:p w14:paraId="47E895C6" w14:textId="77777777" w:rsidR="001E0DB4" w:rsidRDefault="001E0DB4" w:rsidP="00EF0E19">
      <w:pPr>
        <w:pStyle w:val="AERtitle2"/>
      </w:pPr>
    </w:p>
    <w:p w14:paraId="40C6B5C1" w14:textId="77777777" w:rsidR="00EB25FB" w:rsidRDefault="00EB25FB" w:rsidP="00EF0E19">
      <w:pPr>
        <w:pStyle w:val="AERtitle2"/>
      </w:pPr>
      <w:r>
        <w:t xml:space="preserve">Pursuant to Orders of the Australian Competition Tribunal in </w:t>
      </w:r>
      <w:r w:rsidRPr="00BF194D">
        <w:rPr>
          <w:rStyle w:val="AERtextitalic"/>
        </w:rPr>
        <w:t>Application by</w:t>
      </w:r>
      <w:r w:rsidR="00BF194D" w:rsidRPr="00BF194D">
        <w:rPr>
          <w:rStyle w:val="AERtextitalic"/>
        </w:rPr>
        <w:t xml:space="preserve"> Multinet Gas (DB No. 1) Pty Ltd (No 2) [2013] AComptT 6</w:t>
      </w:r>
      <w:r>
        <w:t xml:space="preserve"> </w:t>
      </w:r>
    </w:p>
    <w:p w14:paraId="22378B60" w14:textId="77777777" w:rsidR="001E0DB4" w:rsidRDefault="001E0DB4" w:rsidP="00EF0E19">
      <w:pPr>
        <w:pStyle w:val="AERtitle2"/>
      </w:pPr>
    </w:p>
    <w:p w14:paraId="47EAA8AF" w14:textId="77777777" w:rsidR="00EF0E19" w:rsidRDefault="003F0189" w:rsidP="00EF0E19">
      <w:pPr>
        <w:pStyle w:val="AERtitle2"/>
      </w:pPr>
      <w:r>
        <w:t>October</w:t>
      </w:r>
      <w:r w:rsidR="00EB25FB">
        <w:t xml:space="preserve"> 2013</w:t>
      </w:r>
    </w:p>
    <w:p w14:paraId="10560E01" w14:textId="77777777" w:rsidR="00EF0E19" w:rsidRPr="008F1A4A" w:rsidRDefault="00EF0E19" w:rsidP="003F0189">
      <w:pPr>
        <w:rPr>
          <w:rStyle w:val="AERtextbold"/>
        </w:rPr>
      </w:pPr>
      <w:r>
        <w:rPr>
          <w:rStyle w:val="AERtextbold"/>
        </w:rPr>
        <w:br w:type="page"/>
      </w:r>
      <w:r w:rsidRPr="008F1A4A">
        <w:rPr>
          <w:rStyle w:val="AERtextbold"/>
        </w:rPr>
        <w:lastRenderedPageBreak/>
        <w:t>©</w:t>
      </w:r>
      <w:r w:rsidR="0003487B">
        <w:rPr>
          <w:rStyle w:val="AERtextbold"/>
        </w:rPr>
        <w:t xml:space="preserve"> Commonwealth of Australia </w:t>
      </w:r>
      <w:r w:rsidR="00EB25FB">
        <w:rPr>
          <w:rStyle w:val="AERtextbold"/>
        </w:rPr>
        <w:t>2013</w:t>
      </w:r>
      <w:r w:rsidRPr="008F1A4A">
        <w:rPr>
          <w:rStyle w:val="AERtextbold"/>
        </w:rPr>
        <w:t xml:space="preserve"> </w:t>
      </w:r>
    </w:p>
    <w:p w14:paraId="5063FA54" w14:textId="77777777" w:rsidR="00EF0E19" w:rsidRPr="00F6235D" w:rsidRDefault="00EF0E19" w:rsidP="00EF0E19">
      <w:r w:rsidRPr="00F6235D">
        <w:t>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Canberra ACT 2601.</w:t>
      </w:r>
    </w:p>
    <w:p w14:paraId="26874AAC" w14:textId="77777777" w:rsidR="00EF0E19" w:rsidRDefault="00EF0E19" w:rsidP="00EF0E19">
      <w:r>
        <w:t>Inquiries about this document should be addressed to:</w:t>
      </w:r>
    </w:p>
    <w:p w14:paraId="2F488060" w14:textId="77777777" w:rsidR="00EF0E19" w:rsidRDefault="00EF0E19" w:rsidP="00F97CD9">
      <w:pPr>
        <w:pStyle w:val="AERbodytextnospace"/>
        <w:numPr>
          <w:ilvl w:val="0"/>
          <w:numId w:val="13"/>
        </w:numPr>
      </w:pPr>
      <w:r>
        <w:t>Australian Energy Regulator</w:t>
      </w:r>
    </w:p>
    <w:p w14:paraId="0B71BF31" w14:textId="77777777" w:rsidR="00EF0E19" w:rsidRDefault="00EF0E19" w:rsidP="00F97CD9">
      <w:pPr>
        <w:pStyle w:val="AERbodytextnospace"/>
        <w:numPr>
          <w:ilvl w:val="0"/>
          <w:numId w:val="13"/>
        </w:numPr>
      </w:pPr>
      <w:r>
        <w:t>GPO Box 520</w:t>
      </w:r>
    </w:p>
    <w:p w14:paraId="25C065E3" w14:textId="77777777" w:rsidR="00EF0E19" w:rsidRDefault="00EF0E19" w:rsidP="00F97CD9">
      <w:pPr>
        <w:pStyle w:val="AERbodytextnospace"/>
        <w:numPr>
          <w:ilvl w:val="0"/>
          <w:numId w:val="13"/>
        </w:numPr>
      </w:pPr>
      <w:r>
        <w:t>Melbourne  Vic  3001</w:t>
      </w:r>
    </w:p>
    <w:p w14:paraId="611179F3" w14:textId="77777777" w:rsidR="00EF0E19" w:rsidRDefault="00EF0E19" w:rsidP="00F97CD9">
      <w:pPr>
        <w:pStyle w:val="AERbodytextnospace"/>
        <w:numPr>
          <w:ilvl w:val="0"/>
          <w:numId w:val="13"/>
        </w:numPr>
      </w:pPr>
      <w:r>
        <w:t>Tel: (03) 9290 1444</w:t>
      </w:r>
    </w:p>
    <w:p w14:paraId="768039DD" w14:textId="77777777" w:rsidR="00EF0E19" w:rsidRDefault="00EF0E19" w:rsidP="00F97CD9">
      <w:pPr>
        <w:pStyle w:val="AERbodytextnospace"/>
        <w:numPr>
          <w:ilvl w:val="0"/>
          <w:numId w:val="13"/>
        </w:numPr>
      </w:pPr>
      <w:r>
        <w:t>Fax: (03) 9290 1457</w:t>
      </w:r>
    </w:p>
    <w:p w14:paraId="3038C447" w14:textId="77777777" w:rsidR="00EF0E19" w:rsidRDefault="00EF0E19" w:rsidP="00F97CD9">
      <w:pPr>
        <w:pStyle w:val="AERbodytextnospace"/>
        <w:numPr>
          <w:ilvl w:val="0"/>
          <w:numId w:val="13"/>
        </w:numPr>
      </w:pPr>
      <w:r>
        <w:t xml:space="preserve">Email: </w:t>
      </w:r>
      <w:hyperlink r:id="rId9" w:history="1">
        <w:r w:rsidRPr="003E184A">
          <w:rPr>
            <w:rStyle w:val="Hyperlink"/>
          </w:rPr>
          <w:t>AERInquiry@aer.gov.au</w:t>
        </w:r>
      </w:hyperlink>
    </w:p>
    <w:p w14:paraId="0CCEAE57" w14:textId="77777777" w:rsidR="00EF0E19" w:rsidRPr="008F1A4A" w:rsidRDefault="00EF0E19" w:rsidP="00EF0E19"/>
    <w:p w14:paraId="7002EB36" w14:textId="77777777" w:rsidR="00EF0E19" w:rsidRDefault="00EF0E19" w:rsidP="00EF0E19">
      <w:r>
        <w:t xml:space="preserve">AER reference:   </w:t>
      </w:r>
      <w:r w:rsidR="0003487B">
        <w:t>46771</w:t>
      </w:r>
    </w:p>
    <w:p w14:paraId="3B066BE1" w14:textId="77777777" w:rsidR="00EF0E19" w:rsidRPr="00F6235D" w:rsidRDefault="00EF0E19" w:rsidP="00EF0E19">
      <w:pPr>
        <w:pStyle w:val="AERtitle2"/>
      </w:pPr>
    </w:p>
    <w:p w14:paraId="00657AEC" w14:textId="77777777" w:rsidR="00EF0E19" w:rsidRPr="00F6235D" w:rsidRDefault="00EF0E19" w:rsidP="00EF0E19">
      <w:r w:rsidRPr="00F6235D">
        <w:t xml:space="preserve"> </w:t>
      </w:r>
    </w:p>
    <w:p w14:paraId="50295D97" w14:textId="77777777" w:rsidR="00EF0E19" w:rsidRDefault="00EF0E19" w:rsidP="00EF0E19">
      <w:pPr>
        <w:sectPr w:rsidR="00EF0E19" w:rsidSect="00CC49D4">
          <w:footerReference w:type="even" r:id="rId10"/>
          <w:footerReference w:type="default" r:id="rId11"/>
          <w:pgSz w:w="11906" w:h="16838" w:code="9"/>
          <w:pgMar w:top="1440" w:right="1440" w:bottom="1440" w:left="1440" w:header="709" w:footer="709" w:gutter="0"/>
          <w:cols w:space="708"/>
          <w:docGrid w:linePitch="360"/>
        </w:sectPr>
      </w:pPr>
    </w:p>
    <w:p w14:paraId="5DF849FD" w14:textId="77777777" w:rsidR="005A77F6" w:rsidRDefault="00EB25FB" w:rsidP="00EB25FB">
      <w:pPr>
        <w:pStyle w:val="UnnumberedHeading"/>
        <w:rPr>
          <w:noProof/>
        </w:rPr>
      </w:pPr>
      <w:bookmarkStart w:id="2" w:name="_Toc368044952"/>
      <w:r w:rsidRPr="00EB25FB">
        <w:rPr>
          <w:noProof/>
          <w:lang w:eastAsia="en-AU"/>
        </w:rPr>
        <w:lastRenderedPageBreak/>
        <w:drawing>
          <wp:anchor distT="0" distB="0" distL="114300" distR="114300" simplePos="0" relativeHeight="251665408" behindDoc="1" locked="0" layoutInCell="1" allowOverlap="1" wp14:anchorId="6B58DA96" wp14:editId="4AC694CB">
            <wp:simplePos x="0" y="0"/>
            <wp:positionH relativeFrom="column">
              <wp:posOffset>8280400</wp:posOffset>
            </wp:positionH>
            <wp:positionV relativeFrom="paragraph">
              <wp:posOffset>-946150</wp:posOffset>
            </wp:positionV>
            <wp:extent cx="7635875" cy="10784205"/>
            <wp:effectExtent l="19050" t="0" r="3175" b="0"/>
            <wp:wrapNone/>
            <wp:docPr id="2"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8" cstate="print"/>
                    <a:srcRect/>
                    <a:stretch>
                      <a:fillRect/>
                    </a:stretch>
                  </pic:blipFill>
                  <pic:spPr bwMode="auto">
                    <a:xfrm>
                      <a:off x="0" y="0"/>
                      <a:ext cx="7635875" cy="10784205"/>
                    </a:xfrm>
                    <a:prstGeom prst="rect">
                      <a:avLst/>
                    </a:prstGeom>
                    <a:noFill/>
                    <a:ln w="9525">
                      <a:noFill/>
                      <a:miter lim="800000"/>
                      <a:headEnd/>
                      <a:tailEnd/>
                    </a:ln>
                  </pic:spPr>
                </pic:pic>
              </a:graphicData>
            </a:graphic>
          </wp:anchor>
        </w:drawing>
      </w:r>
      <w:bookmarkStart w:id="3" w:name="_Toc360023682"/>
      <w:bookmarkStart w:id="4" w:name="_Toc360024843"/>
      <w:r>
        <w:t>Contents</w:t>
      </w:r>
      <w:bookmarkEnd w:id="3"/>
      <w:bookmarkEnd w:id="4"/>
      <w:bookmarkEnd w:id="2"/>
      <w:r w:rsidRPr="00AC1B94">
        <w:fldChar w:fldCharType="begin"/>
      </w:r>
      <w:r w:rsidRPr="00971655">
        <w:instrText xml:space="preserve"> TOC \o "1-2" \h \z \u </w:instrText>
      </w:r>
      <w:r w:rsidRPr="00AC1B94">
        <w:fldChar w:fldCharType="separate"/>
      </w:r>
    </w:p>
    <w:p w14:paraId="193B58DD" w14:textId="77777777" w:rsidR="005A77F6" w:rsidRDefault="005613E4">
      <w:pPr>
        <w:pStyle w:val="TOC1"/>
        <w:tabs>
          <w:tab w:val="right" w:pos="9016"/>
        </w:tabs>
        <w:rPr>
          <w:rFonts w:asciiTheme="minorHAnsi" w:eastAsiaTheme="minorEastAsia" w:hAnsiTheme="minorHAnsi" w:cstheme="minorBidi"/>
          <w:b w:val="0"/>
          <w:bCs w:val="0"/>
          <w:noProof/>
          <w:sz w:val="22"/>
          <w:szCs w:val="22"/>
          <w:lang w:eastAsia="en-AU"/>
        </w:rPr>
      </w:pPr>
      <w:hyperlink w:anchor="_Toc368044952" w:history="1">
        <w:r w:rsidR="005A77F6" w:rsidRPr="00866025">
          <w:rPr>
            <w:rStyle w:val="Hyperlink"/>
            <w:noProof/>
          </w:rPr>
          <w:t>Contents</w:t>
        </w:r>
        <w:r w:rsidR="005A77F6">
          <w:rPr>
            <w:noProof/>
            <w:webHidden/>
          </w:rPr>
          <w:tab/>
        </w:r>
        <w:r w:rsidR="005A77F6">
          <w:rPr>
            <w:noProof/>
            <w:webHidden/>
          </w:rPr>
          <w:fldChar w:fldCharType="begin"/>
        </w:r>
        <w:r w:rsidR="005A77F6">
          <w:rPr>
            <w:noProof/>
            <w:webHidden/>
          </w:rPr>
          <w:instrText xml:space="preserve"> PAGEREF _Toc368044952 \h </w:instrText>
        </w:r>
        <w:r w:rsidR="005A77F6">
          <w:rPr>
            <w:noProof/>
            <w:webHidden/>
          </w:rPr>
        </w:r>
        <w:r w:rsidR="005A77F6">
          <w:rPr>
            <w:noProof/>
            <w:webHidden/>
          </w:rPr>
          <w:fldChar w:fldCharType="separate"/>
        </w:r>
        <w:r w:rsidR="005A77F6">
          <w:rPr>
            <w:noProof/>
            <w:webHidden/>
          </w:rPr>
          <w:t>3</w:t>
        </w:r>
        <w:r w:rsidR="005A77F6">
          <w:rPr>
            <w:noProof/>
            <w:webHidden/>
          </w:rPr>
          <w:fldChar w:fldCharType="end"/>
        </w:r>
      </w:hyperlink>
    </w:p>
    <w:p w14:paraId="14CCC39F" w14:textId="77777777" w:rsidR="005A77F6" w:rsidRDefault="005613E4">
      <w:pPr>
        <w:pStyle w:val="TOC1"/>
        <w:tabs>
          <w:tab w:val="right" w:pos="9016"/>
        </w:tabs>
        <w:rPr>
          <w:rFonts w:asciiTheme="minorHAnsi" w:eastAsiaTheme="minorEastAsia" w:hAnsiTheme="minorHAnsi" w:cstheme="minorBidi"/>
          <w:b w:val="0"/>
          <w:bCs w:val="0"/>
          <w:noProof/>
          <w:sz w:val="22"/>
          <w:szCs w:val="22"/>
          <w:lang w:eastAsia="en-AU"/>
        </w:rPr>
      </w:pPr>
      <w:hyperlink w:anchor="_Toc368044953" w:history="1">
        <w:r w:rsidR="005A77F6" w:rsidRPr="00866025">
          <w:rPr>
            <w:rStyle w:val="Hyperlink"/>
            <w:noProof/>
          </w:rPr>
          <w:t>Background</w:t>
        </w:r>
        <w:r w:rsidR="005A77F6">
          <w:rPr>
            <w:noProof/>
            <w:webHidden/>
          </w:rPr>
          <w:tab/>
        </w:r>
        <w:r w:rsidR="005A77F6">
          <w:rPr>
            <w:noProof/>
            <w:webHidden/>
          </w:rPr>
          <w:fldChar w:fldCharType="begin"/>
        </w:r>
        <w:r w:rsidR="005A77F6">
          <w:rPr>
            <w:noProof/>
            <w:webHidden/>
          </w:rPr>
          <w:instrText xml:space="preserve"> PAGEREF _Toc368044953 \h </w:instrText>
        </w:r>
        <w:r w:rsidR="005A77F6">
          <w:rPr>
            <w:noProof/>
            <w:webHidden/>
          </w:rPr>
        </w:r>
        <w:r w:rsidR="005A77F6">
          <w:rPr>
            <w:noProof/>
            <w:webHidden/>
          </w:rPr>
          <w:fldChar w:fldCharType="separate"/>
        </w:r>
        <w:r w:rsidR="005A77F6">
          <w:rPr>
            <w:noProof/>
            <w:webHidden/>
          </w:rPr>
          <w:t>4</w:t>
        </w:r>
        <w:r w:rsidR="005A77F6">
          <w:rPr>
            <w:noProof/>
            <w:webHidden/>
          </w:rPr>
          <w:fldChar w:fldCharType="end"/>
        </w:r>
      </w:hyperlink>
    </w:p>
    <w:p w14:paraId="0E795A1F" w14:textId="77777777" w:rsidR="005A77F6" w:rsidRDefault="005613E4">
      <w:pPr>
        <w:pStyle w:val="TOC1"/>
        <w:tabs>
          <w:tab w:val="left" w:pos="400"/>
          <w:tab w:val="right" w:pos="9016"/>
        </w:tabs>
        <w:rPr>
          <w:rFonts w:asciiTheme="minorHAnsi" w:eastAsiaTheme="minorEastAsia" w:hAnsiTheme="minorHAnsi" w:cstheme="minorBidi"/>
          <w:b w:val="0"/>
          <w:bCs w:val="0"/>
          <w:noProof/>
          <w:sz w:val="22"/>
          <w:szCs w:val="22"/>
          <w:lang w:eastAsia="en-AU"/>
        </w:rPr>
      </w:pPr>
      <w:hyperlink w:anchor="_Toc368044954" w:history="1">
        <w:r w:rsidR="005A77F6" w:rsidRPr="00866025">
          <w:rPr>
            <w:rStyle w:val="Hyperlink"/>
            <w:noProof/>
          </w:rPr>
          <w:t>1</w:t>
        </w:r>
        <w:r w:rsidR="005A77F6">
          <w:rPr>
            <w:rFonts w:asciiTheme="minorHAnsi" w:eastAsiaTheme="minorEastAsia" w:hAnsiTheme="minorHAnsi" w:cstheme="minorBidi"/>
            <w:b w:val="0"/>
            <w:bCs w:val="0"/>
            <w:noProof/>
            <w:sz w:val="22"/>
            <w:szCs w:val="22"/>
            <w:lang w:eastAsia="en-AU"/>
          </w:rPr>
          <w:tab/>
        </w:r>
        <w:r w:rsidR="005A77F6" w:rsidRPr="00866025">
          <w:rPr>
            <w:rStyle w:val="Hyperlink"/>
            <w:noProof/>
          </w:rPr>
          <w:t>Australian Competition Tribunal orders</w:t>
        </w:r>
        <w:r w:rsidR="005A77F6">
          <w:rPr>
            <w:noProof/>
            <w:webHidden/>
          </w:rPr>
          <w:tab/>
        </w:r>
        <w:r w:rsidR="005A77F6">
          <w:rPr>
            <w:noProof/>
            <w:webHidden/>
          </w:rPr>
          <w:fldChar w:fldCharType="begin"/>
        </w:r>
        <w:r w:rsidR="005A77F6">
          <w:rPr>
            <w:noProof/>
            <w:webHidden/>
          </w:rPr>
          <w:instrText xml:space="preserve"> PAGEREF _Toc368044954 \h </w:instrText>
        </w:r>
        <w:r w:rsidR="005A77F6">
          <w:rPr>
            <w:noProof/>
            <w:webHidden/>
          </w:rPr>
        </w:r>
        <w:r w:rsidR="005A77F6">
          <w:rPr>
            <w:noProof/>
            <w:webHidden/>
          </w:rPr>
          <w:fldChar w:fldCharType="separate"/>
        </w:r>
        <w:r w:rsidR="005A77F6">
          <w:rPr>
            <w:noProof/>
            <w:webHidden/>
          </w:rPr>
          <w:t>5</w:t>
        </w:r>
        <w:r w:rsidR="005A77F6">
          <w:rPr>
            <w:noProof/>
            <w:webHidden/>
          </w:rPr>
          <w:fldChar w:fldCharType="end"/>
        </w:r>
      </w:hyperlink>
    </w:p>
    <w:p w14:paraId="608302F1" w14:textId="77777777" w:rsidR="005A77F6" w:rsidRDefault="005613E4">
      <w:pPr>
        <w:pStyle w:val="TOC1"/>
        <w:tabs>
          <w:tab w:val="left" w:pos="400"/>
          <w:tab w:val="right" w:pos="9016"/>
        </w:tabs>
        <w:rPr>
          <w:rFonts w:asciiTheme="minorHAnsi" w:eastAsiaTheme="minorEastAsia" w:hAnsiTheme="minorHAnsi" w:cstheme="minorBidi"/>
          <w:b w:val="0"/>
          <w:bCs w:val="0"/>
          <w:noProof/>
          <w:sz w:val="22"/>
          <w:szCs w:val="22"/>
          <w:lang w:eastAsia="en-AU"/>
        </w:rPr>
      </w:pPr>
      <w:hyperlink w:anchor="_Toc368044956" w:history="1">
        <w:r w:rsidR="005A77F6" w:rsidRPr="00866025">
          <w:rPr>
            <w:rStyle w:val="Hyperlink"/>
            <w:noProof/>
          </w:rPr>
          <w:t>2</w:t>
        </w:r>
        <w:r w:rsidR="005A77F6">
          <w:rPr>
            <w:rFonts w:asciiTheme="minorHAnsi" w:eastAsiaTheme="minorEastAsia" w:hAnsiTheme="minorHAnsi" w:cstheme="minorBidi"/>
            <w:b w:val="0"/>
            <w:bCs w:val="0"/>
            <w:noProof/>
            <w:sz w:val="22"/>
            <w:szCs w:val="22"/>
            <w:lang w:eastAsia="en-AU"/>
          </w:rPr>
          <w:tab/>
        </w:r>
        <w:r w:rsidR="005A77F6" w:rsidRPr="00866025">
          <w:rPr>
            <w:rStyle w:val="Hyperlink"/>
            <w:noProof/>
          </w:rPr>
          <w:t>Capital expenditure</w:t>
        </w:r>
        <w:r w:rsidR="005A77F6">
          <w:rPr>
            <w:noProof/>
            <w:webHidden/>
          </w:rPr>
          <w:tab/>
        </w:r>
        <w:r w:rsidR="005A77F6">
          <w:rPr>
            <w:noProof/>
            <w:webHidden/>
          </w:rPr>
          <w:fldChar w:fldCharType="begin"/>
        </w:r>
        <w:r w:rsidR="005A77F6">
          <w:rPr>
            <w:noProof/>
            <w:webHidden/>
          </w:rPr>
          <w:instrText xml:space="preserve"> PAGEREF _Toc368044956 \h </w:instrText>
        </w:r>
        <w:r w:rsidR="005A77F6">
          <w:rPr>
            <w:noProof/>
            <w:webHidden/>
          </w:rPr>
        </w:r>
        <w:r w:rsidR="005A77F6">
          <w:rPr>
            <w:noProof/>
            <w:webHidden/>
          </w:rPr>
          <w:fldChar w:fldCharType="separate"/>
        </w:r>
        <w:r w:rsidR="005A77F6">
          <w:rPr>
            <w:noProof/>
            <w:webHidden/>
          </w:rPr>
          <w:t>7</w:t>
        </w:r>
        <w:r w:rsidR="005A77F6">
          <w:rPr>
            <w:noProof/>
            <w:webHidden/>
          </w:rPr>
          <w:fldChar w:fldCharType="end"/>
        </w:r>
      </w:hyperlink>
    </w:p>
    <w:p w14:paraId="1D14D3C9" w14:textId="77777777" w:rsidR="005A77F6" w:rsidRDefault="005613E4">
      <w:pPr>
        <w:pStyle w:val="TOC1"/>
        <w:tabs>
          <w:tab w:val="left" w:pos="400"/>
          <w:tab w:val="right" w:pos="9016"/>
        </w:tabs>
        <w:rPr>
          <w:rFonts w:asciiTheme="minorHAnsi" w:eastAsiaTheme="minorEastAsia" w:hAnsiTheme="minorHAnsi" w:cstheme="minorBidi"/>
          <w:b w:val="0"/>
          <w:bCs w:val="0"/>
          <w:noProof/>
          <w:sz w:val="22"/>
          <w:szCs w:val="22"/>
          <w:lang w:eastAsia="en-AU"/>
        </w:rPr>
      </w:pPr>
      <w:hyperlink w:anchor="_Toc368044959" w:history="1">
        <w:r w:rsidR="005A77F6" w:rsidRPr="00866025">
          <w:rPr>
            <w:rStyle w:val="Hyperlink"/>
            <w:noProof/>
          </w:rPr>
          <w:t>3</w:t>
        </w:r>
        <w:r w:rsidR="005A77F6">
          <w:rPr>
            <w:rFonts w:asciiTheme="minorHAnsi" w:eastAsiaTheme="minorEastAsia" w:hAnsiTheme="minorHAnsi" w:cstheme="minorBidi"/>
            <w:b w:val="0"/>
            <w:bCs w:val="0"/>
            <w:noProof/>
            <w:sz w:val="22"/>
            <w:szCs w:val="22"/>
            <w:lang w:eastAsia="en-AU"/>
          </w:rPr>
          <w:tab/>
        </w:r>
        <w:r w:rsidR="005A77F6" w:rsidRPr="00866025">
          <w:rPr>
            <w:rStyle w:val="Hyperlink"/>
            <w:noProof/>
          </w:rPr>
          <w:t>Opening capital base</w:t>
        </w:r>
        <w:r w:rsidR="005A77F6">
          <w:rPr>
            <w:noProof/>
            <w:webHidden/>
          </w:rPr>
          <w:tab/>
        </w:r>
        <w:r w:rsidR="005A77F6">
          <w:rPr>
            <w:noProof/>
            <w:webHidden/>
          </w:rPr>
          <w:fldChar w:fldCharType="begin"/>
        </w:r>
        <w:r w:rsidR="005A77F6">
          <w:rPr>
            <w:noProof/>
            <w:webHidden/>
          </w:rPr>
          <w:instrText xml:space="preserve"> PAGEREF _Toc368044959 \h </w:instrText>
        </w:r>
        <w:r w:rsidR="005A77F6">
          <w:rPr>
            <w:noProof/>
            <w:webHidden/>
          </w:rPr>
        </w:r>
        <w:r w:rsidR="005A77F6">
          <w:rPr>
            <w:noProof/>
            <w:webHidden/>
          </w:rPr>
          <w:fldChar w:fldCharType="separate"/>
        </w:r>
        <w:r w:rsidR="005A77F6">
          <w:rPr>
            <w:noProof/>
            <w:webHidden/>
          </w:rPr>
          <w:t>12</w:t>
        </w:r>
        <w:r w:rsidR="005A77F6">
          <w:rPr>
            <w:noProof/>
            <w:webHidden/>
          </w:rPr>
          <w:fldChar w:fldCharType="end"/>
        </w:r>
      </w:hyperlink>
    </w:p>
    <w:p w14:paraId="430D7FA4" w14:textId="77777777" w:rsidR="005A77F6" w:rsidRDefault="005613E4">
      <w:pPr>
        <w:pStyle w:val="TOC1"/>
        <w:tabs>
          <w:tab w:val="left" w:pos="400"/>
          <w:tab w:val="right" w:pos="9016"/>
        </w:tabs>
        <w:rPr>
          <w:rFonts w:asciiTheme="minorHAnsi" w:eastAsiaTheme="minorEastAsia" w:hAnsiTheme="minorHAnsi" w:cstheme="minorBidi"/>
          <w:b w:val="0"/>
          <w:bCs w:val="0"/>
          <w:noProof/>
          <w:sz w:val="22"/>
          <w:szCs w:val="22"/>
          <w:lang w:eastAsia="en-AU"/>
        </w:rPr>
      </w:pPr>
      <w:hyperlink w:anchor="_Toc368044961" w:history="1">
        <w:r w:rsidR="005A77F6" w:rsidRPr="00866025">
          <w:rPr>
            <w:rStyle w:val="Hyperlink"/>
            <w:noProof/>
          </w:rPr>
          <w:t>4</w:t>
        </w:r>
        <w:r w:rsidR="005A77F6">
          <w:rPr>
            <w:rFonts w:asciiTheme="minorHAnsi" w:eastAsiaTheme="minorEastAsia" w:hAnsiTheme="minorHAnsi" w:cstheme="minorBidi"/>
            <w:b w:val="0"/>
            <w:bCs w:val="0"/>
            <w:noProof/>
            <w:sz w:val="22"/>
            <w:szCs w:val="22"/>
            <w:lang w:eastAsia="en-AU"/>
          </w:rPr>
          <w:tab/>
        </w:r>
        <w:r w:rsidR="005A77F6" w:rsidRPr="00866025">
          <w:rPr>
            <w:rStyle w:val="Hyperlink"/>
            <w:noProof/>
          </w:rPr>
          <w:t>Cost of income tax</w:t>
        </w:r>
        <w:r w:rsidR="005A77F6">
          <w:rPr>
            <w:noProof/>
            <w:webHidden/>
          </w:rPr>
          <w:tab/>
        </w:r>
        <w:r w:rsidR="005A77F6">
          <w:rPr>
            <w:noProof/>
            <w:webHidden/>
          </w:rPr>
          <w:fldChar w:fldCharType="begin"/>
        </w:r>
        <w:r w:rsidR="005A77F6">
          <w:rPr>
            <w:noProof/>
            <w:webHidden/>
          </w:rPr>
          <w:instrText xml:space="preserve"> PAGEREF _Toc368044961 \h </w:instrText>
        </w:r>
        <w:r w:rsidR="005A77F6">
          <w:rPr>
            <w:noProof/>
            <w:webHidden/>
          </w:rPr>
        </w:r>
        <w:r w:rsidR="005A77F6">
          <w:rPr>
            <w:noProof/>
            <w:webHidden/>
          </w:rPr>
          <w:fldChar w:fldCharType="separate"/>
        </w:r>
        <w:r w:rsidR="005A77F6">
          <w:rPr>
            <w:noProof/>
            <w:webHidden/>
          </w:rPr>
          <w:t>13</w:t>
        </w:r>
        <w:r w:rsidR="005A77F6">
          <w:rPr>
            <w:noProof/>
            <w:webHidden/>
          </w:rPr>
          <w:fldChar w:fldCharType="end"/>
        </w:r>
      </w:hyperlink>
    </w:p>
    <w:p w14:paraId="77E68433" w14:textId="77777777" w:rsidR="005A77F6" w:rsidRDefault="005613E4">
      <w:pPr>
        <w:pStyle w:val="TOC1"/>
        <w:tabs>
          <w:tab w:val="left" w:pos="400"/>
          <w:tab w:val="right" w:pos="9016"/>
        </w:tabs>
        <w:rPr>
          <w:rFonts w:asciiTheme="minorHAnsi" w:eastAsiaTheme="minorEastAsia" w:hAnsiTheme="minorHAnsi" w:cstheme="minorBidi"/>
          <w:b w:val="0"/>
          <w:bCs w:val="0"/>
          <w:noProof/>
          <w:sz w:val="22"/>
          <w:szCs w:val="22"/>
          <w:lang w:eastAsia="en-AU"/>
        </w:rPr>
      </w:pPr>
      <w:hyperlink w:anchor="_Toc368044964" w:history="1">
        <w:r w:rsidR="005A77F6" w:rsidRPr="00866025">
          <w:rPr>
            <w:rStyle w:val="Hyperlink"/>
            <w:noProof/>
          </w:rPr>
          <w:t>5</w:t>
        </w:r>
        <w:r w:rsidR="005A77F6">
          <w:rPr>
            <w:rFonts w:asciiTheme="minorHAnsi" w:eastAsiaTheme="minorEastAsia" w:hAnsiTheme="minorHAnsi" w:cstheme="minorBidi"/>
            <w:b w:val="0"/>
            <w:bCs w:val="0"/>
            <w:noProof/>
            <w:sz w:val="22"/>
            <w:szCs w:val="22"/>
            <w:lang w:eastAsia="en-AU"/>
          </w:rPr>
          <w:tab/>
        </w:r>
        <w:r w:rsidR="005A77F6" w:rsidRPr="00866025">
          <w:rPr>
            <w:rStyle w:val="Hyperlink"/>
            <w:noProof/>
          </w:rPr>
          <w:t>Total revenue requirement</w:t>
        </w:r>
        <w:r w:rsidR="005A77F6">
          <w:rPr>
            <w:noProof/>
            <w:webHidden/>
          </w:rPr>
          <w:tab/>
        </w:r>
        <w:r w:rsidR="005A77F6">
          <w:rPr>
            <w:noProof/>
            <w:webHidden/>
          </w:rPr>
          <w:fldChar w:fldCharType="begin"/>
        </w:r>
        <w:r w:rsidR="005A77F6">
          <w:rPr>
            <w:noProof/>
            <w:webHidden/>
          </w:rPr>
          <w:instrText xml:space="preserve"> PAGEREF _Toc368044964 \h </w:instrText>
        </w:r>
        <w:r w:rsidR="005A77F6">
          <w:rPr>
            <w:noProof/>
            <w:webHidden/>
          </w:rPr>
        </w:r>
        <w:r w:rsidR="005A77F6">
          <w:rPr>
            <w:noProof/>
            <w:webHidden/>
          </w:rPr>
          <w:fldChar w:fldCharType="separate"/>
        </w:r>
        <w:r w:rsidR="005A77F6">
          <w:rPr>
            <w:noProof/>
            <w:webHidden/>
          </w:rPr>
          <w:t>15</w:t>
        </w:r>
        <w:r w:rsidR="005A77F6">
          <w:rPr>
            <w:noProof/>
            <w:webHidden/>
          </w:rPr>
          <w:fldChar w:fldCharType="end"/>
        </w:r>
      </w:hyperlink>
    </w:p>
    <w:p w14:paraId="616A9F9F" w14:textId="77777777" w:rsidR="005A77F6" w:rsidRDefault="005613E4">
      <w:pPr>
        <w:pStyle w:val="TOC1"/>
        <w:tabs>
          <w:tab w:val="left" w:pos="400"/>
          <w:tab w:val="right" w:pos="9016"/>
        </w:tabs>
        <w:rPr>
          <w:rFonts w:asciiTheme="minorHAnsi" w:eastAsiaTheme="minorEastAsia" w:hAnsiTheme="minorHAnsi" w:cstheme="minorBidi"/>
          <w:b w:val="0"/>
          <w:bCs w:val="0"/>
          <w:noProof/>
          <w:sz w:val="22"/>
          <w:szCs w:val="22"/>
          <w:lang w:eastAsia="en-AU"/>
        </w:rPr>
      </w:pPr>
      <w:hyperlink w:anchor="_Toc368044966" w:history="1">
        <w:r w:rsidR="005A77F6" w:rsidRPr="00866025">
          <w:rPr>
            <w:rStyle w:val="Hyperlink"/>
            <w:noProof/>
          </w:rPr>
          <w:t>6</w:t>
        </w:r>
        <w:r w:rsidR="005A77F6">
          <w:rPr>
            <w:rFonts w:asciiTheme="minorHAnsi" w:eastAsiaTheme="minorEastAsia" w:hAnsiTheme="minorHAnsi" w:cstheme="minorBidi"/>
            <w:b w:val="0"/>
            <w:bCs w:val="0"/>
            <w:noProof/>
            <w:sz w:val="22"/>
            <w:szCs w:val="22"/>
            <w:lang w:eastAsia="en-AU"/>
          </w:rPr>
          <w:tab/>
        </w:r>
        <w:r w:rsidR="005A77F6" w:rsidRPr="00866025">
          <w:rPr>
            <w:rStyle w:val="Hyperlink"/>
            <w:noProof/>
          </w:rPr>
          <w:t>Reference tariffs</w:t>
        </w:r>
        <w:r w:rsidR="005A77F6">
          <w:rPr>
            <w:noProof/>
            <w:webHidden/>
          </w:rPr>
          <w:tab/>
        </w:r>
        <w:r w:rsidR="005A77F6">
          <w:rPr>
            <w:noProof/>
            <w:webHidden/>
          </w:rPr>
          <w:fldChar w:fldCharType="begin"/>
        </w:r>
        <w:r w:rsidR="005A77F6">
          <w:rPr>
            <w:noProof/>
            <w:webHidden/>
          </w:rPr>
          <w:instrText xml:space="preserve"> PAGEREF _Toc368044966 \h </w:instrText>
        </w:r>
        <w:r w:rsidR="005A77F6">
          <w:rPr>
            <w:noProof/>
            <w:webHidden/>
          </w:rPr>
        </w:r>
        <w:r w:rsidR="005A77F6">
          <w:rPr>
            <w:noProof/>
            <w:webHidden/>
          </w:rPr>
          <w:fldChar w:fldCharType="separate"/>
        </w:r>
        <w:r w:rsidR="005A77F6">
          <w:rPr>
            <w:noProof/>
            <w:webHidden/>
          </w:rPr>
          <w:t>16</w:t>
        </w:r>
        <w:r w:rsidR="005A77F6">
          <w:rPr>
            <w:noProof/>
            <w:webHidden/>
          </w:rPr>
          <w:fldChar w:fldCharType="end"/>
        </w:r>
      </w:hyperlink>
    </w:p>
    <w:p w14:paraId="527A83C8" w14:textId="77777777" w:rsidR="005A77F6" w:rsidRDefault="005A77F6">
      <w:pPr>
        <w:pStyle w:val="TOC2"/>
        <w:tabs>
          <w:tab w:val="left" w:pos="800"/>
          <w:tab w:val="right" w:pos="9016"/>
        </w:tabs>
        <w:rPr>
          <w:rFonts w:asciiTheme="minorHAnsi" w:eastAsiaTheme="minorEastAsia" w:hAnsiTheme="minorHAnsi" w:cstheme="minorBidi"/>
          <w:iCs w:val="0"/>
          <w:noProof/>
          <w:sz w:val="22"/>
          <w:szCs w:val="22"/>
          <w:lang w:eastAsia="en-AU"/>
        </w:rPr>
      </w:pPr>
    </w:p>
    <w:p w14:paraId="411E7483" w14:textId="77777777" w:rsidR="00EB25FB" w:rsidRPr="00AF3E95" w:rsidRDefault="00EB25FB" w:rsidP="00EB25FB">
      <w:pPr>
        <w:pStyle w:val="TOC1"/>
      </w:pPr>
      <w:r w:rsidRPr="00AC1B94">
        <w:fldChar w:fldCharType="end"/>
      </w:r>
    </w:p>
    <w:p w14:paraId="48688BCC" w14:textId="77777777" w:rsidR="00EB25FB" w:rsidRDefault="00BF194D" w:rsidP="00EB25FB">
      <w:pPr>
        <w:pStyle w:val="UnnumberedHeading"/>
        <w:numPr>
          <w:ilvl w:val="0"/>
          <w:numId w:val="2"/>
        </w:numPr>
      </w:pPr>
      <w:bookmarkStart w:id="5" w:name="_Toc368044953"/>
      <w:r>
        <w:lastRenderedPageBreak/>
        <w:t>Background</w:t>
      </w:r>
      <w:bookmarkEnd w:id="5"/>
    </w:p>
    <w:p w14:paraId="6DC7F284" w14:textId="77777777" w:rsidR="00A47D60" w:rsidRDefault="0032053B" w:rsidP="00F02736">
      <w:pPr>
        <w:pStyle w:val="AERbodytext"/>
        <w:numPr>
          <w:ilvl w:val="0"/>
          <w:numId w:val="13"/>
        </w:numPr>
      </w:pPr>
      <w:r>
        <w:t>In March</w:t>
      </w:r>
      <w:r w:rsidR="0003487B">
        <w:t xml:space="preserve"> 2013, the AER released its </w:t>
      </w:r>
      <w:r w:rsidR="003A31BF">
        <w:t>f</w:t>
      </w:r>
      <w:r w:rsidR="00E02688">
        <w:t>inal decision on Multinet DB No. 1 Pty Ltd and Multin</w:t>
      </w:r>
      <w:r w:rsidR="008E0BAD">
        <w:t>et DB No.2 Pty Ltd’s (Multinet</w:t>
      </w:r>
      <w:r w:rsidR="00251324">
        <w:t>)</w:t>
      </w:r>
      <w:r w:rsidR="0003487B">
        <w:t xml:space="preserve"> access arrangement for the 2013–17 period. </w:t>
      </w:r>
      <w:r w:rsidR="00EE402D">
        <w:t xml:space="preserve">The AER did not accept Multinet's proposed access arrangement. The AER </w:t>
      </w:r>
      <w:r w:rsidR="00843EC5">
        <w:t xml:space="preserve">issued a </w:t>
      </w:r>
      <w:r w:rsidR="00A07A7C">
        <w:t>revised</w:t>
      </w:r>
      <w:r w:rsidR="00EE402D">
        <w:t xml:space="preserve"> access arrangement</w:t>
      </w:r>
      <w:r w:rsidR="00843EC5">
        <w:t xml:space="preserve"> in April 2013. This access arrangement </w:t>
      </w:r>
      <w:r w:rsidR="00AF217F">
        <w:t xml:space="preserve">decision </w:t>
      </w:r>
      <w:r w:rsidR="00843EC5">
        <w:t xml:space="preserve">gave effect to the </w:t>
      </w:r>
      <w:r w:rsidR="00AF217F">
        <w:t>revisions required by the AER in its</w:t>
      </w:r>
      <w:r w:rsidR="00843EC5">
        <w:t xml:space="preserve"> </w:t>
      </w:r>
      <w:r w:rsidR="00AF217F">
        <w:t xml:space="preserve">March 2013 </w:t>
      </w:r>
      <w:r w:rsidR="00843EC5">
        <w:t>final decision.</w:t>
      </w:r>
    </w:p>
    <w:p w14:paraId="2AAF90E4" w14:textId="77777777" w:rsidR="00843EC5" w:rsidRDefault="00F02736" w:rsidP="00EB25FB">
      <w:pPr>
        <w:pStyle w:val="AERbodytext"/>
        <w:numPr>
          <w:ilvl w:val="0"/>
          <w:numId w:val="13"/>
        </w:numPr>
      </w:pPr>
      <w:r>
        <w:t xml:space="preserve">In May 2013, </w:t>
      </w:r>
      <w:r w:rsidR="00843EC5">
        <w:t xml:space="preserve">Multinet sought review </w:t>
      </w:r>
      <w:r>
        <w:t xml:space="preserve">by </w:t>
      </w:r>
      <w:r w:rsidR="00843EC5">
        <w:t>the Australian Competition Tribunal</w:t>
      </w:r>
      <w:r w:rsidR="00AF217F">
        <w:t xml:space="preserve"> of the AER’s access arrangement decision</w:t>
      </w:r>
      <w:r>
        <w:t>.</w:t>
      </w:r>
      <w:r w:rsidR="00843EC5">
        <w:t xml:space="preserve"> </w:t>
      </w:r>
      <w:r>
        <w:t>Specifically, Multinet sought review of the AER's decision on the opening capital base for the 2013–17 access arrangement period</w:t>
      </w:r>
      <w:r w:rsidR="00843EC5">
        <w:t>. The Tribunal subsequently made orders remitting the matter to the AER to remake its decision on the opening capital base, having regard to the most accurate</w:t>
      </w:r>
      <w:r>
        <w:t xml:space="preserve"> information available.</w:t>
      </w:r>
    </w:p>
    <w:p w14:paraId="2C5633B3" w14:textId="77777777" w:rsidR="00843EC5" w:rsidRDefault="00843EC5" w:rsidP="00EB25FB">
      <w:pPr>
        <w:pStyle w:val="AERbodytext"/>
        <w:numPr>
          <w:ilvl w:val="0"/>
          <w:numId w:val="13"/>
        </w:numPr>
      </w:pPr>
      <w:r>
        <w:t>This document contains the AER's decision on Multinet's opening capital base for the 2013-17 access arrangement period, made in accordance with the Tribunal's orders. The AER has amended Multinet's access arrangement and access arrangement information to reflect this decision.</w:t>
      </w:r>
    </w:p>
    <w:p w14:paraId="020A2EB3" w14:textId="77777777" w:rsidR="00843EC5" w:rsidRDefault="00843EC5" w:rsidP="00843EC5">
      <w:pPr>
        <w:pStyle w:val="Heading1"/>
      </w:pPr>
      <w:bookmarkStart w:id="6" w:name="_Toc368044954"/>
      <w:r>
        <w:lastRenderedPageBreak/>
        <w:t>Australian Competition Tribunal orders</w:t>
      </w:r>
      <w:bookmarkEnd w:id="6"/>
    </w:p>
    <w:p w14:paraId="5BAE463E" w14:textId="77777777" w:rsidR="00843EC5" w:rsidRDefault="00843EC5" w:rsidP="00843EC5">
      <w:pPr>
        <w:pStyle w:val="AERbodytext"/>
        <w:numPr>
          <w:ilvl w:val="0"/>
          <w:numId w:val="13"/>
        </w:numPr>
      </w:pPr>
      <w:r>
        <w:t>In March 2013, the AER released its final decision on Multinet DB No. 1 Pty Ltd and Multinet DB No.2 Pty Ltd</w:t>
      </w:r>
      <w:r w:rsidR="008E0BAD">
        <w:t>’s</w:t>
      </w:r>
      <w:r>
        <w:t xml:space="preserve"> (Multinet) access arrangement for the 2013–17 period. </w:t>
      </w:r>
      <w:r w:rsidR="00AF217F">
        <w:t>In its final decision, t</w:t>
      </w:r>
      <w:r>
        <w:t>he AER did not accept Multinet's proposed access arrangement. The AER</w:t>
      </w:r>
      <w:r w:rsidR="00A3589F">
        <w:t xml:space="preserve"> then</w:t>
      </w:r>
      <w:r>
        <w:t xml:space="preserve"> issued a revised access arrangement in April 2013. This access arrangement gave effect to the </w:t>
      </w:r>
      <w:r w:rsidR="00AF217F">
        <w:t>revisions required by the AER in its March 2013</w:t>
      </w:r>
      <w:r w:rsidR="00A3589F">
        <w:t xml:space="preserve"> </w:t>
      </w:r>
      <w:r>
        <w:t>final decision.</w:t>
      </w:r>
    </w:p>
    <w:p w14:paraId="47C9A1BA" w14:textId="77777777" w:rsidR="00843EC5" w:rsidRDefault="00843EC5" w:rsidP="00843EC5">
      <w:pPr>
        <w:pStyle w:val="AERbodytext"/>
        <w:numPr>
          <w:ilvl w:val="0"/>
          <w:numId w:val="13"/>
        </w:numPr>
      </w:pPr>
      <w:r>
        <w:t xml:space="preserve">In making its decision, the AER did not accept Multinet's proposed opening capital base for the 2013–17 access arrangement period. </w:t>
      </w:r>
      <w:r w:rsidR="008E0BAD">
        <w:t>T</w:t>
      </w:r>
      <w:r>
        <w:t>he AER</w:t>
      </w:r>
      <w:r w:rsidR="008E0BAD">
        <w:t xml:space="preserve"> determined the opening capital base using benchmark 2012 capex forecast by the Essential Services Commission (ESC), adjusted for actual growth ($47.6 million).</w:t>
      </w:r>
      <w:r w:rsidR="008E0BAD">
        <w:rPr>
          <w:rStyle w:val="FootnoteReference"/>
        </w:rPr>
        <w:footnoteReference w:id="1"/>
      </w:r>
      <w:r w:rsidR="008E0BAD">
        <w:t xml:space="preserve"> This approach was consistent with </w:t>
      </w:r>
      <w:r w:rsidR="00AF217F">
        <w:t>clause 6.4(b)(2) of the</w:t>
      </w:r>
      <w:r>
        <w:t xml:space="preserve"> efficiency incentive mechanism contained in Multinet's 2008–12 access arrangement. </w:t>
      </w:r>
      <w:r w:rsidR="008E0BAD">
        <w:t xml:space="preserve">Multinet had </w:t>
      </w:r>
      <w:r w:rsidR="00AF217F">
        <w:t xml:space="preserve">not applied this clause.  It </w:t>
      </w:r>
      <w:r w:rsidR="008E0BAD">
        <w:t xml:space="preserve">proposed to use </w:t>
      </w:r>
      <w:r w:rsidR="00AF217F">
        <w:t xml:space="preserve">its </w:t>
      </w:r>
      <w:r w:rsidR="008E0BAD">
        <w:t>estimate of conforming capital expenditure (capex) for 2012 when determining the opening capital base.</w:t>
      </w:r>
    </w:p>
    <w:p w14:paraId="1D4E27F3" w14:textId="77777777" w:rsidR="001E7BC9" w:rsidRDefault="0001101F" w:rsidP="00EB25FB">
      <w:pPr>
        <w:pStyle w:val="AERbodytext"/>
        <w:numPr>
          <w:ilvl w:val="0"/>
          <w:numId w:val="13"/>
        </w:numPr>
      </w:pPr>
      <w:r>
        <w:t>On 5 July 2013, the Australian Competition Tribunal (Tribunal) granted leave to Multinet to apply for review of the AER's access arrangement decisi</w:t>
      </w:r>
      <w:r w:rsidR="005E5451">
        <w:t>on</w:t>
      </w:r>
      <w:r w:rsidR="00DE2B37">
        <w:t xml:space="preserve">. </w:t>
      </w:r>
      <w:r w:rsidR="00AF217F">
        <w:t xml:space="preserve">Specifically, </w:t>
      </w:r>
      <w:r w:rsidR="00DE2B37">
        <w:t>Multinet sought review of the AER's decision to use the ESC's benchmark of 2012 capex in the capital base.</w:t>
      </w:r>
    </w:p>
    <w:p w14:paraId="5A5F64C6" w14:textId="77777777" w:rsidR="0001101F" w:rsidRDefault="001E7BC9" w:rsidP="00EB25FB">
      <w:pPr>
        <w:pStyle w:val="AERbodytext"/>
        <w:numPr>
          <w:ilvl w:val="0"/>
          <w:numId w:val="13"/>
        </w:numPr>
      </w:pPr>
      <w:r>
        <w:t>Following Multinet's application for review, the AER reconsidered its decision on the application of the efficiency incentive mechanism and came to the view that it had made an error of fact</w:t>
      </w:r>
      <w:r w:rsidR="00DF78B7">
        <w:t xml:space="preserve"> </w:t>
      </w:r>
      <w:r>
        <w:t xml:space="preserve">in its finding on Multinet's 2012 capex. This </w:t>
      </w:r>
      <w:r w:rsidR="00A3589F">
        <w:t>wa</w:t>
      </w:r>
      <w:r>
        <w:t>s based on the AER's acceptance that clause 6.4(b)(2) of Multinet's 2008–12 access arrangement d</w:t>
      </w:r>
      <w:r w:rsidR="00A3589F">
        <w:t>id</w:t>
      </w:r>
      <w:r>
        <w:t xml:space="preserve"> not permit a negat</w:t>
      </w:r>
      <w:r w:rsidR="00233DAF">
        <w:t>ive carry-over of a decrement or</w:t>
      </w:r>
      <w:r>
        <w:t xml:space="preserve"> financial penalty. As such, if Multinet's conforming capex in 2012 was higher than the ESC forecast, the inclusion of the forecast </w:t>
      </w:r>
      <w:r w:rsidR="00471026">
        <w:t xml:space="preserve">in </w:t>
      </w:r>
      <w:r>
        <w:t>the opening capital base for the 2013–17 period would result in a decrement or financial penalty to Multinet and clause 6.4(b) would be inapplicable.</w:t>
      </w:r>
    </w:p>
    <w:p w14:paraId="18A9F56C" w14:textId="77777777" w:rsidR="00843EC5" w:rsidRDefault="00471026" w:rsidP="00843EC5">
      <w:pPr>
        <w:pStyle w:val="AERbodytext"/>
        <w:numPr>
          <w:ilvl w:val="0"/>
          <w:numId w:val="13"/>
        </w:numPr>
      </w:pPr>
      <w:r>
        <w:t xml:space="preserve">The parties </w:t>
      </w:r>
      <w:r w:rsidR="00AB36E8">
        <w:t>agreed</w:t>
      </w:r>
      <w:r>
        <w:t xml:space="preserve"> that t</w:t>
      </w:r>
      <w:r w:rsidR="001E7BC9">
        <w:t xml:space="preserve">here was evidence before the AER that Multinet's </w:t>
      </w:r>
      <w:r>
        <w:t xml:space="preserve">conforming capex in 2012 would be higher than the ESC forecast. Consequently, clause 6.4(b) of Multinet's 2008–12 access arrangement was not applicable, and </w:t>
      </w:r>
      <w:r w:rsidR="00AF217F">
        <w:t>it was necessary for the AER to determine</w:t>
      </w:r>
      <w:r>
        <w:t xml:space="preserve"> the opening capital base in accordance with r. 77(2)(b) of the National Gas Rules (NGR).</w:t>
      </w:r>
      <w:r w:rsidR="00AF217F">
        <w:t xml:space="preserve"> The parties asked the Tribunal to make a determination by consent to this effect.</w:t>
      </w:r>
    </w:p>
    <w:p w14:paraId="4B38DC84" w14:textId="77777777" w:rsidR="005E5451" w:rsidRDefault="005E5451" w:rsidP="00EB25FB">
      <w:pPr>
        <w:pStyle w:val="AERbodytext"/>
        <w:numPr>
          <w:ilvl w:val="0"/>
          <w:numId w:val="13"/>
        </w:numPr>
      </w:pPr>
      <w:r>
        <w:lastRenderedPageBreak/>
        <w:t>On 31 July 2013</w:t>
      </w:r>
      <w:r w:rsidR="00471026">
        <w:t>, the Tribunal</w:t>
      </w:r>
      <w:r w:rsidR="00AF217F">
        <w:t xml:space="preserve"> did so after it had satisfied itself that the material submitted by the parties supported such a determination.  The Tribunal </w:t>
      </w:r>
      <w:r w:rsidR="00471026">
        <w:t xml:space="preserve">made its orders that </w:t>
      </w:r>
      <w:r>
        <w:t>the matter be r</w:t>
      </w:r>
      <w:r w:rsidR="00233DAF">
        <w:t>emitted to the AER to remake its decision</w:t>
      </w:r>
      <w:r>
        <w:t xml:space="preserve"> </w:t>
      </w:r>
      <w:r w:rsidR="00AE52ED">
        <w:t xml:space="preserve">under r 64(4) of the NGR </w:t>
      </w:r>
      <w:r>
        <w:t>in accordance with the following directions:</w:t>
      </w:r>
    </w:p>
    <w:p w14:paraId="5F709B34" w14:textId="77777777" w:rsidR="001E7BC9" w:rsidRDefault="005E5451" w:rsidP="005E5451">
      <w:pPr>
        <w:pStyle w:val="AERbulletlistfirststyle"/>
      </w:pPr>
      <w:r>
        <w:t>The opening capital base for the 2013–17 period be determined by reference to conforming capex made by Multinet in 2012, and not b</w:t>
      </w:r>
      <w:r w:rsidR="00DA2715">
        <w:t>y</w:t>
      </w:r>
      <w:r>
        <w:t xml:space="preserve"> reference to the forecast of 2012 capex</w:t>
      </w:r>
      <w:r w:rsidR="00471026">
        <w:t xml:space="preserve"> </w:t>
      </w:r>
      <w:r>
        <w:t>made by the ESC in relation to the preceding access arrangement period;</w:t>
      </w:r>
    </w:p>
    <w:p w14:paraId="7DFEFF44" w14:textId="77777777" w:rsidR="005E5451" w:rsidRDefault="005E5451" w:rsidP="005E5451">
      <w:pPr>
        <w:pStyle w:val="AERbulletlistfirststyle"/>
      </w:pPr>
      <w:r>
        <w:t>In assessing the conforming capex made by Multinet in 2012, the AER shall have regard to the most accurate information available regarding Multinet's actua</w:t>
      </w:r>
      <w:r w:rsidR="00DA2715">
        <w:t>l capex, including Multinet's a</w:t>
      </w:r>
      <w:r>
        <w:t>u</w:t>
      </w:r>
      <w:r w:rsidR="00DA2715">
        <w:t>d</w:t>
      </w:r>
      <w:r>
        <w:t>ited statutory and regulatory accounts submitted to the AER;</w:t>
      </w:r>
    </w:p>
    <w:p w14:paraId="3A93CAB1" w14:textId="77777777" w:rsidR="005E5451" w:rsidRDefault="005E5451" w:rsidP="005E5451">
      <w:pPr>
        <w:pStyle w:val="AERbulletlistfirststyle"/>
      </w:pPr>
      <w:r>
        <w:t>Despite r.</w:t>
      </w:r>
      <w:r w:rsidR="00A3589F">
        <w:t xml:space="preserve"> </w:t>
      </w:r>
      <w:r>
        <w:t>64(2) of the NGR, the AER shall consult Multinet and take into account any written submissions made by Multinet.</w:t>
      </w:r>
    </w:p>
    <w:p w14:paraId="52D3ACDC" w14:textId="77777777" w:rsidR="00F02736" w:rsidRDefault="00460ABB" w:rsidP="00142C6A">
      <w:pPr>
        <w:pStyle w:val="Heading2"/>
      </w:pPr>
      <w:bookmarkStart w:id="7" w:name="_Toc367893874"/>
      <w:bookmarkStart w:id="8" w:name="_Toc368044955"/>
      <w:r>
        <w:t>The AER's approach to</w:t>
      </w:r>
      <w:r w:rsidR="0049068F">
        <w:t xml:space="preserve"> </w:t>
      </w:r>
      <w:bookmarkEnd w:id="7"/>
      <w:r w:rsidR="00AE52ED">
        <w:t>remaking its decision</w:t>
      </w:r>
      <w:bookmarkEnd w:id="8"/>
    </w:p>
    <w:p w14:paraId="1D9B557B" w14:textId="77777777" w:rsidR="00251324" w:rsidRDefault="003537B1" w:rsidP="005E5451">
      <w:pPr>
        <w:pStyle w:val="AERbulletlistfirststyle"/>
        <w:numPr>
          <w:ilvl w:val="0"/>
          <w:numId w:val="0"/>
        </w:numPr>
      </w:pPr>
      <w:r>
        <w:t xml:space="preserve">The Tribunal's orders </w:t>
      </w:r>
      <w:r w:rsidR="00142C6A">
        <w:t xml:space="preserve">require the AER to </w:t>
      </w:r>
      <w:r w:rsidR="00AE52ED">
        <w:t>re-</w:t>
      </w:r>
      <w:r w:rsidR="00142C6A">
        <w:t xml:space="preserve">make </w:t>
      </w:r>
      <w:r w:rsidR="00AE52ED">
        <w:t xml:space="preserve">its </w:t>
      </w:r>
      <w:r w:rsidR="00251324">
        <w:t>decision on the opening capital base for 2013. Th</w:t>
      </w:r>
      <w:r w:rsidR="00067FFA">
        <w:t xml:space="preserve">is </w:t>
      </w:r>
      <w:r w:rsidR="00251324">
        <w:t>decision is to be arrived at</w:t>
      </w:r>
      <w:r>
        <w:t xml:space="preserve"> using Multinet's actual conforming capex for 2012.</w:t>
      </w:r>
    </w:p>
    <w:p w14:paraId="6B2B1630" w14:textId="77777777" w:rsidR="00F652FA" w:rsidRDefault="00F652FA" w:rsidP="00F652FA">
      <w:pPr>
        <w:pStyle w:val="AERbodytext"/>
      </w:pPr>
      <w:r>
        <w:t xml:space="preserve">In assessing Multinet's conforming capex for 2012, the AER first considered Multinet's actual 2012 capex against the ESC's forecast for each capex category. The AER identified those categories where Multinet exceeded the forecast, and sought further information from Multinet on the </w:t>
      </w:r>
      <w:r w:rsidR="00B819DD">
        <w:t>reasons</w:t>
      </w:r>
      <w:r>
        <w:t xml:space="preserve"> for its expenditure. The AER then made an assessment on whether Multinet’s capex conformed with the criteria set on in the NGR. For the remaining categories where Multinet underspent the benchmark allowance, the AER </w:t>
      </w:r>
      <w:r w:rsidR="00AE52ED">
        <w:t>accepted that the lower expenditure was prudent and efficient</w:t>
      </w:r>
      <w:r>
        <w:t>.</w:t>
      </w:r>
      <w:r w:rsidR="00B819DD">
        <w:t xml:space="preserve"> The AER</w:t>
      </w:r>
      <w:r w:rsidR="00AE52ED">
        <w:t>’s assessment process reflects the approach the AER</w:t>
      </w:r>
      <w:r w:rsidR="00B819DD">
        <w:t xml:space="preserve"> undertook to assess</w:t>
      </w:r>
      <w:r w:rsidR="00AE52ED">
        <w:t>ing</w:t>
      </w:r>
      <w:r w:rsidR="00B819DD">
        <w:t xml:space="preserve"> conforming capex for the years 2007–11</w:t>
      </w:r>
      <w:r w:rsidR="00AE52ED">
        <w:t xml:space="preserve"> in its final decision</w:t>
      </w:r>
      <w:r w:rsidR="00B819DD">
        <w:t>.</w:t>
      </w:r>
    </w:p>
    <w:p w14:paraId="6EFF2CB7" w14:textId="77777777" w:rsidR="00251324" w:rsidRDefault="00251324" w:rsidP="005E5451">
      <w:pPr>
        <w:pStyle w:val="AERbulletlistfirststyle"/>
        <w:numPr>
          <w:ilvl w:val="0"/>
          <w:numId w:val="0"/>
        </w:numPr>
      </w:pPr>
      <w:r>
        <w:t>Any change to the opening capital base will change Multinet’s revenue requirement for the access arrangement period and its tariffs for reference services.</w:t>
      </w:r>
      <w:r w:rsidR="00A753C8">
        <w:t xml:space="preserve"> The AER has adjusted these aspects of the access arrangement to account for </w:t>
      </w:r>
      <w:r w:rsidR="00AE52ED">
        <w:t xml:space="preserve">the remaking of </w:t>
      </w:r>
      <w:r w:rsidR="00A753C8">
        <w:t xml:space="preserve">its decision on the opening capital base. This decision does not affect any other aspect of the access arrangement issued by the AER in April 2013. </w:t>
      </w:r>
    </w:p>
    <w:p w14:paraId="4E635D4B" w14:textId="77777777" w:rsidR="00460ABB" w:rsidRDefault="00460ABB" w:rsidP="005E5451">
      <w:pPr>
        <w:pStyle w:val="AERbulletlistfirststyle"/>
        <w:numPr>
          <w:ilvl w:val="0"/>
          <w:numId w:val="0"/>
        </w:numPr>
      </w:pPr>
      <w:r>
        <w:t>Th</w:t>
      </w:r>
      <w:r w:rsidR="00A753C8">
        <w:t>is</w:t>
      </w:r>
      <w:r w:rsidR="00067FFA">
        <w:t xml:space="preserve"> decision</w:t>
      </w:r>
      <w:r>
        <w:t xml:space="preserve"> d</w:t>
      </w:r>
      <w:r w:rsidR="00A753C8">
        <w:t>ocument</w:t>
      </w:r>
      <w:r>
        <w:t xml:space="preserve"> is set out in the following way:</w:t>
      </w:r>
    </w:p>
    <w:p w14:paraId="54FEE6FA" w14:textId="77777777" w:rsidR="00460ABB" w:rsidRDefault="00460ABB" w:rsidP="00460ABB">
      <w:pPr>
        <w:pStyle w:val="AERbulletlistfirststyle"/>
      </w:pPr>
      <w:r>
        <w:t>Chapter 2 – an assessment of actual conforming capex for 2012</w:t>
      </w:r>
    </w:p>
    <w:p w14:paraId="51EFF1C4" w14:textId="77777777" w:rsidR="00460ABB" w:rsidRDefault="00460ABB" w:rsidP="00460ABB">
      <w:pPr>
        <w:pStyle w:val="AERbulletlistfirststyle"/>
      </w:pPr>
      <w:r>
        <w:t>Chapter 3 – the opening capital base</w:t>
      </w:r>
    </w:p>
    <w:p w14:paraId="7D1ACA16" w14:textId="77777777" w:rsidR="00A11FAC" w:rsidRDefault="00A11FAC" w:rsidP="00460ABB">
      <w:pPr>
        <w:pStyle w:val="AERbulletlistfirststyle"/>
      </w:pPr>
      <w:r>
        <w:lastRenderedPageBreak/>
        <w:t>Chapter 4 – cost of income tax</w:t>
      </w:r>
    </w:p>
    <w:p w14:paraId="07C79EB0" w14:textId="77777777" w:rsidR="00460ABB" w:rsidRDefault="00F652FA" w:rsidP="00460ABB">
      <w:pPr>
        <w:pStyle w:val="AERbulletlistfirststyle"/>
      </w:pPr>
      <w:r>
        <w:t>Chapter 5</w:t>
      </w:r>
      <w:r w:rsidR="00460ABB">
        <w:t xml:space="preserve"> –</w:t>
      </w:r>
      <w:r w:rsidR="00067FFA">
        <w:t xml:space="preserve"> </w:t>
      </w:r>
      <w:r w:rsidR="00460ABB">
        <w:t>total revenue requirement for 2013–17</w:t>
      </w:r>
    </w:p>
    <w:p w14:paraId="101F809C" w14:textId="77777777" w:rsidR="00F652FA" w:rsidRDefault="00F652FA" w:rsidP="00460ABB">
      <w:pPr>
        <w:pStyle w:val="AERbulletlistfirststyle"/>
      </w:pPr>
      <w:r>
        <w:t>Chapter 6 – reference tariffs</w:t>
      </w:r>
    </w:p>
    <w:p w14:paraId="23959CC4" w14:textId="77777777" w:rsidR="00142C6A" w:rsidRDefault="00142C6A" w:rsidP="005E5451">
      <w:pPr>
        <w:pStyle w:val="AERbulletlistfirststyle"/>
        <w:numPr>
          <w:ilvl w:val="0"/>
          <w:numId w:val="0"/>
        </w:numPr>
      </w:pPr>
      <w:r>
        <w:t xml:space="preserve">The AER has </w:t>
      </w:r>
      <w:r w:rsidR="0049068F">
        <w:t>released an updated version of</w:t>
      </w:r>
      <w:r>
        <w:t xml:space="preserve"> Multinet's access arrangement and access arrangement information to reflect </w:t>
      </w:r>
      <w:r w:rsidR="0049068F">
        <w:t>this</w:t>
      </w:r>
      <w:r>
        <w:t xml:space="preserve"> decision.</w:t>
      </w:r>
    </w:p>
    <w:p w14:paraId="3DABD89B" w14:textId="77777777" w:rsidR="00B819DD" w:rsidRDefault="00B819DD" w:rsidP="005E5451">
      <w:pPr>
        <w:pStyle w:val="AERbulletlistfirststyle"/>
        <w:numPr>
          <w:ilvl w:val="0"/>
          <w:numId w:val="0"/>
        </w:numPr>
      </w:pPr>
      <w:r>
        <w:t xml:space="preserve">This decision is made on the basis of Multinet’s actual audited accounts for 2012, rather than an estimate. Consequently, the opening capital base for 2013 will not </w:t>
      </w:r>
      <w:r w:rsidR="00AE52ED">
        <w:t xml:space="preserve">need to </w:t>
      </w:r>
      <w:r>
        <w:t xml:space="preserve">be adjusted </w:t>
      </w:r>
      <w:r w:rsidR="00AE52ED">
        <w:t>for the next access arrangement period</w:t>
      </w:r>
      <w:r>
        <w:t xml:space="preserve">. </w:t>
      </w:r>
    </w:p>
    <w:p w14:paraId="04A17E24" w14:textId="77777777" w:rsidR="00142C6A" w:rsidRDefault="00142C6A" w:rsidP="005E5451">
      <w:pPr>
        <w:pStyle w:val="AERbulletlistfirststyle"/>
        <w:numPr>
          <w:ilvl w:val="0"/>
          <w:numId w:val="0"/>
        </w:numPr>
      </w:pPr>
    </w:p>
    <w:p w14:paraId="4270D7A9" w14:textId="77777777" w:rsidR="00EB25FB" w:rsidRPr="000A1CC2" w:rsidRDefault="00460ABB" w:rsidP="00F02736">
      <w:pPr>
        <w:pStyle w:val="Heading1"/>
      </w:pPr>
      <w:bookmarkStart w:id="9" w:name="_Toc368044956"/>
      <w:r>
        <w:lastRenderedPageBreak/>
        <w:t>Capital expenditure</w:t>
      </w:r>
      <w:bookmarkEnd w:id="9"/>
    </w:p>
    <w:p w14:paraId="7E0E4B27" w14:textId="77777777" w:rsidR="00EB25FB" w:rsidRPr="00E32783" w:rsidRDefault="00BF194D" w:rsidP="00E32783">
      <w:pPr>
        <w:pStyle w:val="AERbodytext"/>
      </w:pPr>
      <w:r w:rsidRPr="00E32783">
        <w:t xml:space="preserve">The AER approves </w:t>
      </w:r>
      <w:r w:rsidRPr="00E32783">
        <w:rPr>
          <w:rStyle w:val="AERbody"/>
        </w:rPr>
        <w:t>$</w:t>
      </w:r>
      <w:r w:rsidR="005626A9">
        <w:rPr>
          <w:rStyle w:val="AERbody"/>
        </w:rPr>
        <w:t>75.7</w:t>
      </w:r>
      <w:r w:rsidRPr="00E32783">
        <w:rPr>
          <w:rStyle w:val="AERbody"/>
        </w:rPr>
        <w:t xml:space="preserve"> million</w:t>
      </w:r>
      <w:r w:rsidR="00C36B32" w:rsidRPr="00E32783">
        <w:rPr>
          <w:rStyle w:val="AERbody"/>
        </w:rPr>
        <w:t xml:space="preserve"> </w:t>
      </w:r>
      <w:r w:rsidR="00C36B32" w:rsidRPr="00E32783">
        <w:t>($2012</w:t>
      </w:r>
      <w:r w:rsidRPr="00E32783">
        <w:t xml:space="preserve">) total net capex for 2012 as conforming capex under r. 79(1) of the NGR. </w:t>
      </w:r>
      <w:r w:rsidR="00E32783" w:rsidRPr="00E32783">
        <w:fldChar w:fldCharType="begin"/>
      </w:r>
      <w:r w:rsidR="00E32783" w:rsidRPr="00E32783">
        <w:instrText xml:space="preserve"> REF _Ref366762488 \h </w:instrText>
      </w:r>
      <w:r w:rsidR="00E32783">
        <w:instrText xml:space="preserve"> \* MERGEFORMAT </w:instrText>
      </w:r>
      <w:r w:rsidR="00E32783" w:rsidRPr="00E32783">
        <w:fldChar w:fldCharType="separate"/>
      </w:r>
      <w:r w:rsidR="00323C9D">
        <w:t>Table 2.1</w:t>
      </w:r>
      <w:r w:rsidR="00E32783" w:rsidRPr="00E32783">
        <w:fldChar w:fldCharType="end"/>
      </w:r>
      <w:r w:rsidR="00E32783" w:rsidRPr="00E32783">
        <w:t xml:space="preserve"> sets out the AER's decision on capex by category in 2012.</w:t>
      </w:r>
      <w:r w:rsidR="00BA215A">
        <w:t xml:space="preserve"> The AER's assessment of conforming capex is outlined below.</w:t>
      </w:r>
    </w:p>
    <w:p w14:paraId="0566126E" w14:textId="77777777" w:rsidR="00BF194D" w:rsidRDefault="00BF194D" w:rsidP="00BF194D">
      <w:pPr>
        <w:pStyle w:val="Caption"/>
      </w:pPr>
      <w:bookmarkStart w:id="10" w:name="_Ref366762488"/>
      <w:bookmarkStart w:id="11" w:name="_Ref366762479"/>
      <w:r>
        <w:t xml:space="preserve">Table </w:t>
      </w:r>
      <w:fldSimple w:instr=" STYLEREF 1 \s ">
        <w:r w:rsidR="00323C9D">
          <w:rPr>
            <w:noProof/>
          </w:rPr>
          <w:t>2</w:t>
        </w:r>
      </w:fldSimple>
      <w:r w:rsidR="0059631A">
        <w:t>.</w:t>
      </w:r>
      <w:fldSimple w:instr=" SEQ Table \* ARABIC \s 1 ">
        <w:r w:rsidR="00323C9D">
          <w:rPr>
            <w:noProof/>
          </w:rPr>
          <w:t>1</w:t>
        </w:r>
      </w:fldSimple>
      <w:bookmarkEnd w:id="10"/>
      <w:r>
        <w:tab/>
        <w:t>AER approved capital expenditure by category in 2012 ($million, 2012)</w:t>
      </w:r>
      <w:bookmarkEnd w:id="11"/>
    </w:p>
    <w:tbl>
      <w:tblPr>
        <w:tblStyle w:val="AERtable-numbers"/>
        <w:tblW w:w="0" w:type="auto"/>
        <w:tblLook w:val="04A0" w:firstRow="1" w:lastRow="0" w:firstColumn="1" w:lastColumn="0" w:noHBand="0" w:noVBand="1"/>
      </w:tblPr>
      <w:tblGrid>
        <w:gridCol w:w="3369"/>
        <w:gridCol w:w="4961"/>
      </w:tblGrid>
      <w:tr w:rsidR="000F7E68" w14:paraId="7F54A4F6" w14:textId="77777777" w:rsidTr="000F7E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vAlign w:val="top"/>
          </w:tcPr>
          <w:p w14:paraId="37DDB1CB" w14:textId="77777777" w:rsidR="000F7E68" w:rsidRDefault="000F7E68" w:rsidP="002C4E08">
            <w:pPr>
              <w:pStyle w:val="AERtabletextleft"/>
            </w:pPr>
            <w:r>
              <w:t>Category</w:t>
            </w:r>
          </w:p>
        </w:tc>
        <w:tc>
          <w:tcPr>
            <w:tcW w:w="4961" w:type="dxa"/>
            <w:vAlign w:val="top"/>
          </w:tcPr>
          <w:p w14:paraId="4EFA9C8D" w14:textId="77777777" w:rsidR="000F7E68" w:rsidRDefault="000F7E68" w:rsidP="000F7E68">
            <w:pPr>
              <w:pStyle w:val="AERtabletextleft"/>
              <w:cnfStyle w:val="100000000000" w:firstRow="1" w:lastRow="0" w:firstColumn="0" w:lastColumn="0" w:oddVBand="0" w:evenVBand="0" w:oddHBand="0" w:evenHBand="0" w:firstRowFirstColumn="0" w:firstRowLastColumn="0" w:lastRowFirstColumn="0" w:lastRowLastColumn="0"/>
            </w:pPr>
            <w:r>
              <w:t>AER approved capex</w:t>
            </w:r>
          </w:p>
        </w:tc>
      </w:tr>
      <w:tr w:rsidR="000F7E68" w14:paraId="0B35F90E" w14:textId="77777777" w:rsidTr="000F7E68">
        <w:tc>
          <w:tcPr>
            <w:cnfStyle w:val="001000000000" w:firstRow="0" w:lastRow="0" w:firstColumn="1" w:lastColumn="0" w:oddVBand="0" w:evenVBand="0" w:oddHBand="0" w:evenHBand="0" w:firstRowFirstColumn="0" w:firstRowLastColumn="0" w:lastRowFirstColumn="0" w:lastRowLastColumn="0"/>
            <w:tcW w:w="3369" w:type="dxa"/>
          </w:tcPr>
          <w:p w14:paraId="6D49661A" w14:textId="77777777" w:rsidR="000F7E68" w:rsidRDefault="000F7E68" w:rsidP="00BF194D">
            <w:pPr>
              <w:pStyle w:val="AERtabletextleft"/>
            </w:pPr>
            <w:r>
              <w:t>Mains replacement</w:t>
            </w:r>
          </w:p>
        </w:tc>
        <w:tc>
          <w:tcPr>
            <w:tcW w:w="4961" w:type="dxa"/>
          </w:tcPr>
          <w:p w14:paraId="33DEF3A6" w14:textId="77777777" w:rsidR="000F7E68" w:rsidRDefault="005626A9" w:rsidP="005626A9">
            <w:pPr>
              <w:pStyle w:val="AERbodytext"/>
              <w:numPr>
                <w:ilvl w:val="0"/>
                <w:numId w:val="13"/>
              </w:numPr>
              <w:jc w:val="right"/>
              <w:cnfStyle w:val="000000000000" w:firstRow="0" w:lastRow="0" w:firstColumn="0" w:lastColumn="0" w:oddVBand="0" w:evenVBand="0" w:oddHBand="0" w:evenHBand="0" w:firstRowFirstColumn="0" w:firstRowLastColumn="0" w:lastRowFirstColumn="0" w:lastRowLastColumn="0"/>
            </w:pPr>
            <w:r>
              <w:t>9.5</w:t>
            </w:r>
          </w:p>
        </w:tc>
      </w:tr>
      <w:tr w:rsidR="000F7E68" w14:paraId="086D536E" w14:textId="77777777" w:rsidTr="000F7E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30A04815" w14:textId="77777777" w:rsidR="000F7E68" w:rsidRDefault="000F7E68" w:rsidP="00EB25FB">
            <w:pPr>
              <w:pStyle w:val="AERbodytext"/>
              <w:numPr>
                <w:ilvl w:val="0"/>
                <w:numId w:val="13"/>
              </w:numPr>
            </w:pPr>
            <w:r>
              <w:t>Residential connections</w:t>
            </w:r>
          </w:p>
        </w:tc>
        <w:tc>
          <w:tcPr>
            <w:tcW w:w="4961" w:type="dxa"/>
          </w:tcPr>
          <w:p w14:paraId="0FFA17BC" w14:textId="77777777" w:rsidR="000F7E68" w:rsidRDefault="005626A9" w:rsidP="005626A9">
            <w:pPr>
              <w:pStyle w:val="AERbodytext"/>
              <w:numPr>
                <w:ilvl w:val="0"/>
                <w:numId w:val="13"/>
              </w:numPr>
              <w:jc w:val="right"/>
              <w:cnfStyle w:val="000000010000" w:firstRow="0" w:lastRow="0" w:firstColumn="0" w:lastColumn="0" w:oddVBand="0" w:evenVBand="0" w:oddHBand="0" w:evenHBand="1" w:firstRowFirstColumn="0" w:firstRowLastColumn="0" w:lastRowFirstColumn="0" w:lastRowLastColumn="0"/>
            </w:pPr>
            <w:r>
              <w:t>14.5</w:t>
            </w:r>
          </w:p>
        </w:tc>
      </w:tr>
      <w:tr w:rsidR="000F7E68" w14:paraId="4C7F242D" w14:textId="77777777" w:rsidTr="000F7E68">
        <w:tc>
          <w:tcPr>
            <w:cnfStyle w:val="001000000000" w:firstRow="0" w:lastRow="0" w:firstColumn="1" w:lastColumn="0" w:oddVBand="0" w:evenVBand="0" w:oddHBand="0" w:evenHBand="0" w:firstRowFirstColumn="0" w:firstRowLastColumn="0" w:lastRowFirstColumn="0" w:lastRowLastColumn="0"/>
            <w:tcW w:w="3369" w:type="dxa"/>
          </w:tcPr>
          <w:p w14:paraId="6526450D" w14:textId="77777777" w:rsidR="000F7E68" w:rsidRDefault="000F7E68" w:rsidP="00EB25FB">
            <w:pPr>
              <w:pStyle w:val="AERbodytext"/>
              <w:numPr>
                <w:ilvl w:val="0"/>
                <w:numId w:val="13"/>
              </w:numPr>
            </w:pPr>
            <w:r>
              <w:t>Commercial/industrial connections</w:t>
            </w:r>
          </w:p>
        </w:tc>
        <w:tc>
          <w:tcPr>
            <w:tcW w:w="4961" w:type="dxa"/>
          </w:tcPr>
          <w:p w14:paraId="0833F65E" w14:textId="77777777" w:rsidR="000F7E68" w:rsidRDefault="000F7E68" w:rsidP="000F7E68">
            <w:pPr>
              <w:pStyle w:val="AERbodytext"/>
              <w:numPr>
                <w:ilvl w:val="0"/>
                <w:numId w:val="13"/>
              </w:numPr>
              <w:jc w:val="right"/>
              <w:cnfStyle w:val="000000000000" w:firstRow="0" w:lastRow="0" w:firstColumn="0" w:lastColumn="0" w:oddVBand="0" w:evenVBand="0" w:oddHBand="0" w:evenHBand="0" w:firstRowFirstColumn="0" w:firstRowLastColumn="0" w:lastRowFirstColumn="0" w:lastRowLastColumn="0"/>
            </w:pPr>
            <w:r>
              <w:t>2.4</w:t>
            </w:r>
          </w:p>
        </w:tc>
      </w:tr>
      <w:tr w:rsidR="000F7E68" w14:paraId="3CC79866" w14:textId="77777777" w:rsidTr="000F7E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449BBCBF" w14:textId="77777777" w:rsidR="000F7E68" w:rsidRDefault="000F7E68" w:rsidP="00EB25FB">
            <w:pPr>
              <w:pStyle w:val="AERbodytext"/>
              <w:numPr>
                <w:ilvl w:val="0"/>
                <w:numId w:val="13"/>
              </w:numPr>
            </w:pPr>
            <w:r>
              <w:t>Meters</w:t>
            </w:r>
          </w:p>
        </w:tc>
        <w:tc>
          <w:tcPr>
            <w:tcW w:w="4961" w:type="dxa"/>
          </w:tcPr>
          <w:p w14:paraId="25A4C288" w14:textId="77777777" w:rsidR="000F7E68" w:rsidRDefault="000F7E68" w:rsidP="000F7E68">
            <w:pPr>
              <w:pStyle w:val="AERbodytext"/>
              <w:numPr>
                <w:ilvl w:val="0"/>
                <w:numId w:val="13"/>
              </w:numPr>
              <w:jc w:val="right"/>
              <w:cnfStyle w:val="000000010000" w:firstRow="0" w:lastRow="0" w:firstColumn="0" w:lastColumn="0" w:oddVBand="0" w:evenVBand="0" w:oddHBand="0" w:evenHBand="1" w:firstRowFirstColumn="0" w:firstRowLastColumn="0" w:lastRowFirstColumn="0" w:lastRowLastColumn="0"/>
            </w:pPr>
            <w:r>
              <w:t>1.9</w:t>
            </w:r>
          </w:p>
        </w:tc>
      </w:tr>
      <w:tr w:rsidR="000F7E68" w14:paraId="6CD55FC3" w14:textId="77777777" w:rsidTr="000F7E68">
        <w:tc>
          <w:tcPr>
            <w:cnfStyle w:val="001000000000" w:firstRow="0" w:lastRow="0" w:firstColumn="1" w:lastColumn="0" w:oddVBand="0" w:evenVBand="0" w:oddHBand="0" w:evenHBand="0" w:firstRowFirstColumn="0" w:firstRowLastColumn="0" w:lastRowFirstColumn="0" w:lastRowLastColumn="0"/>
            <w:tcW w:w="3369" w:type="dxa"/>
          </w:tcPr>
          <w:p w14:paraId="502E5559" w14:textId="77777777" w:rsidR="000F7E68" w:rsidRDefault="000F7E68" w:rsidP="00EB25FB">
            <w:pPr>
              <w:pStyle w:val="AERbodytext"/>
              <w:numPr>
                <w:ilvl w:val="0"/>
                <w:numId w:val="13"/>
              </w:numPr>
            </w:pPr>
            <w:r>
              <w:t>Augmentation</w:t>
            </w:r>
          </w:p>
        </w:tc>
        <w:tc>
          <w:tcPr>
            <w:tcW w:w="4961" w:type="dxa"/>
          </w:tcPr>
          <w:p w14:paraId="1C8D1E70" w14:textId="77777777" w:rsidR="000F7E68" w:rsidRDefault="000F7E68" w:rsidP="000F7E68">
            <w:pPr>
              <w:pStyle w:val="AERbodytext"/>
              <w:numPr>
                <w:ilvl w:val="0"/>
                <w:numId w:val="13"/>
              </w:numPr>
              <w:jc w:val="right"/>
              <w:cnfStyle w:val="000000000000" w:firstRow="0" w:lastRow="0" w:firstColumn="0" w:lastColumn="0" w:oddVBand="0" w:evenVBand="0" w:oddHBand="0" w:evenHBand="0" w:firstRowFirstColumn="0" w:firstRowLastColumn="0" w:lastRowFirstColumn="0" w:lastRowLastColumn="0"/>
            </w:pPr>
            <w:r>
              <w:t>17.3</w:t>
            </w:r>
          </w:p>
        </w:tc>
      </w:tr>
      <w:tr w:rsidR="005626A9" w14:paraId="2222AFAD" w14:textId="77777777" w:rsidTr="000F7E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50C7BB11" w14:textId="77777777" w:rsidR="005626A9" w:rsidRDefault="005626A9" w:rsidP="00EB25FB">
            <w:pPr>
              <w:pStyle w:val="AERbodytext"/>
              <w:numPr>
                <w:ilvl w:val="0"/>
                <w:numId w:val="13"/>
              </w:numPr>
            </w:pPr>
            <w:r>
              <w:t>Gas extensions – NGEP</w:t>
            </w:r>
          </w:p>
        </w:tc>
        <w:tc>
          <w:tcPr>
            <w:tcW w:w="4961" w:type="dxa"/>
          </w:tcPr>
          <w:p w14:paraId="19606580" w14:textId="77777777" w:rsidR="005626A9" w:rsidRDefault="005626A9" w:rsidP="000F7E68">
            <w:pPr>
              <w:pStyle w:val="AERbodytext"/>
              <w:numPr>
                <w:ilvl w:val="0"/>
                <w:numId w:val="13"/>
              </w:numPr>
              <w:jc w:val="right"/>
              <w:cnfStyle w:val="000000010000" w:firstRow="0" w:lastRow="0" w:firstColumn="0" w:lastColumn="0" w:oddVBand="0" w:evenVBand="0" w:oddHBand="0" w:evenHBand="1" w:firstRowFirstColumn="0" w:firstRowLastColumn="0" w:lastRowFirstColumn="0" w:lastRowLastColumn="0"/>
            </w:pPr>
            <w:r>
              <w:t>1.4</w:t>
            </w:r>
          </w:p>
        </w:tc>
      </w:tr>
      <w:tr w:rsidR="000F7E68" w14:paraId="4EE76824" w14:textId="77777777" w:rsidTr="000F7E68">
        <w:tc>
          <w:tcPr>
            <w:cnfStyle w:val="001000000000" w:firstRow="0" w:lastRow="0" w:firstColumn="1" w:lastColumn="0" w:oddVBand="0" w:evenVBand="0" w:oddHBand="0" w:evenHBand="0" w:firstRowFirstColumn="0" w:firstRowLastColumn="0" w:lastRowFirstColumn="0" w:lastRowLastColumn="0"/>
            <w:tcW w:w="3369" w:type="dxa"/>
          </w:tcPr>
          <w:p w14:paraId="27BA40F6" w14:textId="77777777" w:rsidR="000F7E68" w:rsidRDefault="000F7E68" w:rsidP="00EB25FB">
            <w:pPr>
              <w:pStyle w:val="AERbodytext"/>
              <w:numPr>
                <w:ilvl w:val="0"/>
                <w:numId w:val="13"/>
              </w:numPr>
            </w:pPr>
            <w:r>
              <w:t>IT</w:t>
            </w:r>
          </w:p>
        </w:tc>
        <w:tc>
          <w:tcPr>
            <w:tcW w:w="4961" w:type="dxa"/>
          </w:tcPr>
          <w:p w14:paraId="2F5AF14A" w14:textId="77777777" w:rsidR="000F7E68" w:rsidRDefault="005626A9" w:rsidP="000F7E68">
            <w:pPr>
              <w:pStyle w:val="AERbodytext"/>
              <w:numPr>
                <w:ilvl w:val="0"/>
                <w:numId w:val="13"/>
              </w:numPr>
              <w:jc w:val="right"/>
              <w:cnfStyle w:val="000000000000" w:firstRow="0" w:lastRow="0" w:firstColumn="0" w:lastColumn="0" w:oddVBand="0" w:evenVBand="0" w:oddHBand="0" w:evenHBand="0" w:firstRowFirstColumn="0" w:firstRowLastColumn="0" w:lastRowFirstColumn="0" w:lastRowLastColumn="0"/>
            </w:pPr>
            <w:r>
              <w:t>30</w:t>
            </w:r>
          </w:p>
        </w:tc>
      </w:tr>
      <w:tr w:rsidR="000F7E68" w14:paraId="508BFDD1" w14:textId="77777777" w:rsidTr="000F7E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1E931921" w14:textId="77777777" w:rsidR="000F7E68" w:rsidRDefault="000F7E68" w:rsidP="00EB25FB">
            <w:pPr>
              <w:pStyle w:val="AERbodytext"/>
              <w:numPr>
                <w:ilvl w:val="0"/>
                <w:numId w:val="13"/>
              </w:numPr>
            </w:pPr>
            <w:r>
              <w:t>Other</w:t>
            </w:r>
          </w:p>
        </w:tc>
        <w:tc>
          <w:tcPr>
            <w:tcW w:w="4961" w:type="dxa"/>
          </w:tcPr>
          <w:p w14:paraId="0C37B79F" w14:textId="77777777" w:rsidR="000F7E68" w:rsidRDefault="005626A9" w:rsidP="000F7E68">
            <w:pPr>
              <w:pStyle w:val="AERbodytext"/>
              <w:numPr>
                <w:ilvl w:val="0"/>
                <w:numId w:val="13"/>
              </w:numPr>
              <w:jc w:val="right"/>
              <w:cnfStyle w:val="000000010000" w:firstRow="0" w:lastRow="0" w:firstColumn="0" w:lastColumn="0" w:oddVBand="0" w:evenVBand="0" w:oddHBand="0" w:evenHBand="1" w:firstRowFirstColumn="0" w:firstRowLastColumn="0" w:lastRowFirstColumn="0" w:lastRowLastColumn="0"/>
            </w:pPr>
            <w:r>
              <w:t>1.1</w:t>
            </w:r>
          </w:p>
        </w:tc>
      </w:tr>
      <w:tr w:rsidR="000F7E68" w14:paraId="3C5972D4" w14:textId="77777777" w:rsidTr="000F7E68">
        <w:tc>
          <w:tcPr>
            <w:cnfStyle w:val="001000000000" w:firstRow="0" w:lastRow="0" w:firstColumn="1" w:lastColumn="0" w:oddVBand="0" w:evenVBand="0" w:oddHBand="0" w:evenHBand="0" w:firstRowFirstColumn="0" w:firstRowLastColumn="0" w:lastRowFirstColumn="0" w:lastRowLastColumn="0"/>
            <w:tcW w:w="3369" w:type="dxa"/>
          </w:tcPr>
          <w:p w14:paraId="25951777" w14:textId="77777777" w:rsidR="000F7E68" w:rsidRDefault="000F7E68" w:rsidP="00EB25FB">
            <w:pPr>
              <w:pStyle w:val="AERbodytext"/>
              <w:numPr>
                <w:ilvl w:val="0"/>
                <w:numId w:val="13"/>
              </w:numPr>
            </w:pPr>
            <w:r>
              <w:t>Internal direct overheads</w:t>
            </w:r>
          </w:p>
        </w:tc>
        <w:tc>
          <w:tcPr>
            <w:tcW w:w="4961" w:type="dxa"/>
          </w:tcPr>
          <w:p w14:paraId="63B1F038" w14:textId="77777777" w:rsidR="000F7E68" w:rsidRDefault="000F7E68" w:rsidP="000F7E68">
            <w:pPr>
              <w:pStyle w:val="AERbodytext"/>
              <w:numPr>
                <w:ilvl w:val="0"/>
                <w:numId w:val="13"/>
              </w:numPr>
              <w:jc w:val="right"/>
              <w:cnfStyle w:val="000000000000" w:firstRow="0" w:lastRow="0" w:firstColumn="0" w:lastColumn="0" w:oddVBand="0" w:evenVBand="0" w:oddHBand="0" w:evenHBand="0" w:firstRowFirstColumn="0" w:firstRowLastColumn="0" w:lastRowFirstColumn="0" w:lastRowLastColumn="0"/>
            </w:pPr>
            <w:r>
              <w:t>0.0</w:t>
            </w:r>
          </w:p>
        </w:tc>
      </w:tr>
      <w:tr w:rsidR="000F7E68" w14:paraId="33398717" w14:textId="77777777" w:rsidTr="000F7E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4E970ABA" w14:textId="77777777" w:rsidR="000F7E68" w:rsidRDefault="000F7E68" w:rsidP="00EB25FB">
            <w:pPr>
              <w:pStyle w:val="AERbodytext"/>
              <w:numPr>
                <w:ilvl w:val="0"/>
                <w:numId w:val="13"/>
              </w:numPr>
            </w:pPr>
            <w:r>
              <w:t>Indirect overheads</w:t>
            </w:r>
          </w:p>
        </w:tc>
        <w:tc>
          <w:tcPr>
            <w:tcW w:w="4961" w:type="dxa"/>
          </w:tcPr>
          <w:p w14:paraId="13836800" w14:textId="77777777" w:rsidR="000F7E68" w:rsidRDefault="000F7E68" w:rsidP="000F7E68">
            <w:pPr>
              <w:pStyle w:val="AERbodytext"/>
              <w:numPr>
                <w:ilvl w:val="0"/>
                <w:numId w:val="13"/>
              </w:numPr>
              <w:jc w:val="right"/>
              <w:cnfStyle w:val="000000010000" w:firstRow="0" w:lastRow="0" w:firstColumn="0" w:lastColumn="0" w:oddVBand="0" w:evenVBand="0" w:oddHBand="0" w:evenHBand="1" w:firstRowFirstColumn="0" w:firstRowLastColumn="0" w:lastRowFirstColumn="0" w:lastRowLastColumn="0"/>
            </w:pPr>
            <w:r>
              <w:t>0.0</w:t>
            </w:r>
          </w:p>
        </w:tc>
      </w:tr>
      <w:tr w:rsidR="000F7E68" w14:paraId="3B86846A" w14:textId="77777777" w:rsidTr="000F7E68">
        <w:tc>
          <w:tcPr>
            <w:cnfStyle w:val="001000000000" w:firstRow="0" w:lastRow="0" w:firstColumn="1" w:lastColumn="0" w:oddVBand="0" w:evenVBand="0" w:oddHBand="0" w:evenHBand="0" w:firstRowFirstColumn="0" w:firstRowLastColumn="0" w:lastRowFirstColumn="0" w:lastRowLastColumn="0"/>
            <w:tcW w:w="3369" w:type="dxa"/>
          </w:tcPr>
          <w:p w14:paraId="410054F2" w14:textId="77777777" w:rsidR="000F7E68" w:rsidRDefault="000F7E68" w:rsidP="00EB25FB">
            <w:pPr>
              <w:pStyle w:val="AERbodytext"/>
              <w:numPr>
                <w:ilvl w:val="0"/>
                <w:numId w:val="13"/>
              </w:numPr>
            </w:pPr>
            <w:r>
              <w:t>GROSS TOTAL</w:t>
            </w:r>
          </w:p>
        </w:tc>
        <w:tc>
          <w:tcPr>
            <w:tcW w:w="4961" w:type="dxa"/>
          </w:tcPr>
          <w:p w14:paraId="44C7AEB7" w14:textId="77777777" w:rsidR="000F7E68" w:rsidRDefault="005626A9" w:rsidP="000F7E68">
            <w:pPr>
              <w:pStyle w:val="AERbodytext"/>
              <w:numPr>
                <w:ilvl w:val="0"/>
                <w:numId w:val="13"/>
              </w:numPr>
              <w:jc w:val="right"/>
              <w:cnfStyle w:val="000000000000" w:firstRow="0" w:lastRow="0" w:firstColumn="0" w:lastColumn="0" w:oddVBand="0" w:evenVBand="0" w:oddHBand="0" w:evenHBand="0" w:firstRowFirstColumn="0" w:firstRowLastColumn="0" w:lastRowFirstColumn="0" w:lastRowLastColumn="0"/>
            </w:pPr>
            <w:r>
              <w:t>78.1</w:t>
            </w:r>
          </w:p>
        </w:tc>
      </w:tr>
      <w:tr w:rsidR="000F7E68" w14:paraId="44B58F1A" w14:textId="77777777" w:rsidTr="000F7E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3292997F" w14:textId="77777777" w:rsidR="000F7E68" w:rsidRDefault="000F7E68" w:rsidP="00EB25FB">
            <w:pPr>
              <w:pStyle w:val="AERbodytext"/>
              <w:numPr>
                <w:ilvl w:val="0"/>
                <w:numId w:val="13"/>
              </w:numPr>
            </w:pPr>
            <w:r>
              <w:t>Customer contributions</w:t>
            </w:r>
          </w:p>
        </w:tc>
        <w:tc>
          <w:tcPr>
            <w:tcW w:w="4961" w:type="dxa"/>
          </w:tcPr>
          <w:p w14:paraId="3D175F73" w14:textId="77777777" w:rsidR="000F7E68" w:rsidRDefault="000F7E68" w:rsidP="000F7E68">
            <w:pPr>
              <w:pStyle w:val="AERbodytext"/>
              <w:numPr>
                <w:ilvl w:val="0"/>
                <w:numId w:val="13"/>
              </w:numPr>
              <w:jc w:val="right"/>
              <w:cnfStyle w:val="000000010000" w:firstRow="0" w:lastRow="0" w:firstColumn="0" w:lastColumn="0" w:oddVBand="0" w:evenVBand="0" w:oddHBand="0" w:evenHBand="1" w:firstRowFirstColumn="0" w:firstRowLastColumn="0" w:lastRowFirstColumn="0" w:lastRowLastColumn="0"/>
            </w:pPr>
            <w:r>
              <w:t>2.4</w:t>
            </w:r>
          </w:p>
        </w:tc>
      </w:tr>
      <w:tr w:rsidR="000F7E68" w14:paraId="1C52DCF0" w14:textId="77777777" w:rsidTr="000F7E68">
        <w:tc>
          <w:tcPr>
            <w:cnfStyle w:val="001000000000" w:firstRow="0" w:lastRow="0" w:firstColumn="1" w:lastColumn="0" w:oddVBand="0" w:evenVBand="0" w:oddHBand="0" w:evenHBand="0" w:firstRowFirstColumn="0" w:firstRowLastColumn="0" w:lastRowFirstColumn="0" w:lastRowLastColumn="0"/>
            <w:tcW w:w="3369" w:type="dxa"/>
          </w:tcPr>
          <w:p w14:paraId="043FA780" w14:textId="77777777" w:rsidR="000F7E68" w:rsidRDefault="000F7E68" w:rsidP="00EB25FB">
            <w:pPr>
              <w:pStyle w:val="AERbodytext"/>
              <w:numPr>
                <w:ilvl w:val="0"/>
                <w:numId w:val="13"/>
              </w:numPr>
            </w:pPr>
            <w:r>
              <w:t>Government contributions</w:t>
            </w:r>
          </w:p>
        </w:tc>
        <w:tc>
          <w:tcPr>
            <w:tcW w:w="4961" w:type="dxa"/>
          </w:tcPr>
          <w:p w14:paraId="19097ED1" w14:textId="77777777" w:rsidR="000F7E68" w:rsidRDefault="000F7E68" w:rsidP="000F7E68">
            <w:pPr>
              <w:pStyle w:val="AERbodytext"/>
              <w:numPr>
                <w:ilvl w:val="0"/>
                <w:numId w:val="13"/>
              </w:numPr>
              <w:jc w:val="right"/>
              <w:cnfStyle w:val="000000000000" w:firstRow="0" w:lastRow="0" w:firstColumn="0" w:lastColumn="0" w:oddVBand="0" w:evenVBand="0" w:oddHBand="0" w:evenHBand="0" w:firstRowFirstColumn="0" w:firstRowLastColumn="0" w:lastRowFirstColumn="0" w:lastRowLastColumn="0"/>
            </w:pPr>
            <w:r>
              <w:t>0.0</w:t>
            </w:r>
          </w:p>
        </w:tc>
      </w:tr>
      <w:tr w:rsidR="000F7E68" w14:paraId="1059FC10" w14:textId="77777777" w:rsidTr="000F7E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31F2A1D4" w14:textId="77777777" w:rsidR="000F7E68" w:rsidRPr="00C20CC8" w:rsidRDefault="000F7E68" w:rsidP="00EB25FB">
            <w:pPr>
              <w:pStyle w:val="AERbodytext"/>
              <w:numPr>
                <w:ilvl w:val="0"/>
                <w:numId w:val="13"/>
              </w:numPr>
              <w:rPr>
                <w:b/>
              </w:rPr>
            </w:pPr>
            <w:r w:rsidRPr="00C20CC8">
              <w:rPr>
                <w:b/>
              </w:rPr>
              <w:t>Net total</w:t>
            </w:r>
          </w:p>
        </w:tc>
        <w:tc>
          <w:tcPr>
            <w:tcW w:w="4961" w:type="dxa"/>
          </w:tcPr>
          <w:p w14:paraId="44371629" w14:textId="77777777" w:rsidR="000F7E68" w:rsidRDefault="005626A9" w:rsidP="000F7E68">
            <w:pPr>
              <w:pStyle w:val="AERbodytext"/>
              <w:numPr>
                <w:ilvl w:val="0"/>
                <w:numId w:val="13"/>
              </w:numPr>
              <w:jc w:val="right"/>
              <w:cnfStyle w:val="000000010000" w:firstRow="0" w:lastRow="0" w:firstColumn="0" w:lastColumn="0" w:oddVBand="0" w:evenVBand="0" w:oddHBand="0" w:evenHBand="1" w:firstRowFirstColumn="0" w:firstRowLastColumn="0" w:lastRowFirstColumn="0" w:lastRowLastColumn="0"/>
            </w:pPr>
            <w:r>
              <w:t>75.7</w:t>
            </w:r>
          </w:p>
        </w:tc>
      </w:tr>
    </w:tbl>
    <w:p w14:paraId="6727AB21" w14:textId="77777777" w:rsidR="00BF194D" w:rsidRDefault="00BF194D" w:rsidP="005626A9">
      <w:pPr>
        <w:pStyle w:val="AERtablesource"/>
      </w:pPr>
      <w:r>
        <w:t>Source:</w:t>
      </w:r>
      <w:r>
        <w:tab/>
        <w:t>AER analysis</w:t>
      </w:r>
    </w:p>
    <w:p w14:paraId="77DD0F77" w14:textId="77777777" w:rsidR="005626A9" w:rsidRPr="00E964A6" w:rsidRDefault="005626A9" w:rsidP="005626A9">
      <w:pPr>
        <w:pStyle w:val="AERtablesource"/>
        <w:rPr>
          <w:rStyle w:val="AERbody"/>
        </w:rPr>
      </w:pPr>
      <w:r w:rsidRPr="00E964A6">
        <w:t xml:space="preserve">Note: </w:t>
      </w:r>
      <w:r w:rsidRPr="00E964A6">
        <w:tab/>
        <w:t>Totals may not add due to rounding.</w:t>
      </w:r>
    </w:p>
    <w:p w14:paraId="76A73972" w14:textId="77777777" w:rsidR="005626A9" w:rsidRPr="005626A9" w:rsidRDefault="005626A9" w:rsidP="005626A9">
      <w:pPr>
        <w:pStyle w:val="AERbodytext"/>
      </w:pPr>
    </w:p>
    <w:p w14:paraId="0853B5F1" w14:textId="77777777" w:rsidR="00BF194D" w:rsidRPr="005A39EC" w:rsidRDefault="00BF194D" w:rsidP="005A39EC">
      <w:pPr>
        <w:pStyle w:val="AERbodytext"/>
        <w:rPr>
          <w:sz w:val="40"/>
          <w:lang w:eastAsia="en-AU"/>
        </w:rPr>
      </w:pPr>
      <w:r>
        <w:br w:type="page"/>
      </w:r>
    </w:p>
    <w:p w14:paraId="0E7784D8" w14:textId="77777777" w:rsidR="00BF194D" w:rsidRPr="000A1CC2" w:rsidRDefault="00BF194D" w:rsidP="00460ABB">
      <w:pPr>
        <w:pStyle w:val="Heading2"/>
      </w:pPr>
      <w:bookmarkStart w:id="12" w:name="_Toc367893876"/>
      <w:bookmarkStart w:id="13" w:name="_Toc368044957"/>
      <w:r w:rsidRPr="00F02736">
        <w:lastRenderedPageBreak/>
        <w:t>Assessment</w:t>
      </w:r>
      <w:r>
        <w:t xml:space="preserve"> approach</w:t>
      </w:r>
      <w:bookmarkEnd w:id="12"/>
      <w:bookmarkEnd w:id="13"/>
    </w:p>
    <w:p w14:paraId="1A2FFEFB" w14:textId="77777777" w:rsidR="00BF194D" w:rsidRDefault="00F00094" w:rsidP="00BF194D">
      <w:pPr>
        <w:pStyle w:val="AERbodytext"/>
        <w:numPr>
          <w:ilvl w:val="0"/>
          <w:numId w:val="13"/>
        </w:numPr>
      </w:pPr>
      <w:r>
        <w:t>The AER must accept, as part of the opening capital base for the access arrangement period, any conforming capex made (or to be made) during the earlier access arrangement period.</w:t>
      </w:r>
      <w:r w:rsidR="000C405E">
        <w:rPr>
          <w:rStyle w:val="FootnoteReference"/>
        </w:rPr>
        <w:footnoteReference w:id="2"/>
      </w:r>
      <w:r>
        <w:t xml:space="preserve"> </w:t>
      </w:r>
    </w:p>
    <w:p w14:paraId="3E55929D" w14:textId="77777777" w:rsidR="00F00094" w:rsidRDefault="00F00094" w:rsidP="00BF194D">
      <w:pPr>
        <w:pStyle w:val="AERbodytext"/>
        <w:numPr>
          <w:ilvl w:val="0"/>
          <w:numId w:val="13"/>
        </w:numPr>
      </w:pPr>
      <w:r>
        <w:t>Capex will be conforming if it:</w:t>
      </w:r>
    </w:p>
    <w:p w14:paraId="73E66A0C" w14:textId="77777777" w:rsidR="00F00094" w:rsidRDefault="001A2EA4" w:rsidP="00F00094">
      <w:pPr>
        <w:pStyle w:val="AERbulletlistfirststyle"/>
      </w:pPr>
      <w:r>
        <w:t>m</w:t>
      </w:r>
      <w:r w:rsidR="00F00094">
        <w:t>eets the definition of capex in r. 69 of the NGR. Capex is defined as costs and expenditure of a capital nature incurred to provide, or i</w:t>
      </w:r>
      <w:r w:rsidR="007E232C">
        <w:t>n providing, pipeline services.</w:t>
      </w:r>
    </w:p>
    <w:p w14:paraId="697F4678" w14:textId="77777777" w:rsidR="001A2EA4" w:rsidRDefault="001A2EA4" w:rsidP="00F00094">
      <w:pPr>
        <w:pStyle w:val="AERbulletlistfirststyle"/>
      </w:pPr>
      <w:r>
        <w:t>Conforms with the capex criteria in r. 79 of the NGR. There are two criteria that must be met under this rule:</w:t>
      </w:r>
    </w:p>
    <w:p w14:paraId="52BF4A07" w14:textId="77777777" w:rsidR="001A2EA4" w:rsidRDefault="001A2EA4" w:rsidP="001A2EA4">
      <w:pPr>
        <w:pStyle w:val="AERbulletlistsecondstyle"/>
      </w:pPr>
      <w:r>
        <w:t>The expenditure must be s</w:t>
      </w:r>
      <w:r w:rsidR="00BA7D10">
        <w:t>uch as would be incurred by a p</w:t>
      </w:r>
      <w:r>
        <w:t>r</w:t>
      </w:r>
      <w:r w:rsidR="00BA7D10">
        <w:t>u</w:t>
      </w:r>
      <w:r>
        <w:t>dent service provider acting efficiently, in accordance with good industry practice, to achieve the lowest sustainable cost of providing services; and</w:t>
      </w:r>
    </w:p>
    <w:p w14:paraId="0F87BF9E" w14:textId="77777777" w:rsidR="001A2EA4" w:rsidRPr="003800E4" w:rsidRDefault="001A2EA4" w:rsidP="001A2EA4">
      <w:pPr>
        <w:pStyle w:val="AERbulletlistsecondstyle"/>
      </w:pPr>
      <w:r>
        <w:t>The expenditure must be justifiable on one of four grounds set out in r. 79(2) of the NGR.</w:t>
      </w:r>
    </w:p>
    <w:p w14:paraId="65CED867" w14:textId="77777777" w:rsidR="001A2EA4" w:rsidRDefault="001A2EA4" w:rsidP="001A2EA4">
      <w:pPr>
        <w:pStyle w:val="AERbodytext"/>
      </w:pPr>
      <w:r>
        <w:t>The grounds set out in r. 79(2) of the NGR are that the capex must either:</w:t>
      </w:r>
    </w:p>
    <w:p w14:paraId="4B50D69C" w14:textId="77777777" w:rsidR="001A2EA4" w:rsidRDefault="001A2EA4" w:rsidP="001A2EA4">
      <w:pPr>
        <w:pStyle w:val="AERbulletlistfirststyle"/>
      </w:pPr>
      <w:r>
        <w:t>Have an overall economic value that is positive</w:t>
      </w:r>
    </w:p>
    <w:p w14:paraId="77460DCA" w14:textId="77777777" w:rsidR="001A2EA4" w:rsidRDefault="001A2EA4" w:rsidP="001A2EA4">
      <w:pPr>
        <w:pStyle w:val="AERbulletlistfirststyle"/>
      </w:pPr>
      <w:r>
        <w:t>Demonstrate</w:t>
      </w:r>
      <w:r w:rsidR="00BA7D10">
        <w:t xml:space="preserve"> an</w:t>
      </w:r>
      <w:r>
        <w:t xml:space="preserve"> expected present value of the incremental revenue that exceeds the expenditure</w:t>
      </w:r>
    </w:p>
    <w:p w14:paraId="558BE688" w14:textId="77777777" w:rsidR="001A2EA4" w:rsidRDefault="001A2EA4" w:rsidP="001A2EA4">
      <w:pPr>
        <w:pStyle w:val="AERbulletlistfirststyle"/>
      </w:pPr>
      <w:r>
        <w:t>Be necessary to maintain and improve the safety of services, or maintain the integrity of services, or comply with a regulatory obligation or requirement, or maintain capacity to meet levels of demand existing at the time the capex is incurred, or</w:t>
      </w:r>
    </w:p>
    <w:p w14:paraId="7317DBD3" w14:textId="77777777" w:rsidR="001A2EA4" w:rsidRDefault="001A2EA4" w:rsidP="001A2EA4">
      <w:pPr>
        <w:pStyle w:val="AERbulletlistfirststyle"/>
      </w:pPr>
      <w:r>
        <w:t>Be justifiable as a combination of the preceding two dot points.</w:t>
      </w:r>
    </w:p>
    <w:p w14:paraId="7559277C" w14:textId="77777777" w:rsidR="001A2EA4" w:rsidRDefault="001A2EA4" w:rsidP="00BA7D10">
      <w:pPr>
        <w:pStyle w:val="AERbodytext"/>
      </w:pPr>
      <w:r>
        <w:t>The AER has limited discretion when making decisions under r. 79 of the NGR.</w:t>
      </w:r>
      <w:r>
        <w:rPr>
          <w:rStyle w:val="FootnoteReference"/>
        </w:rPr>
        <w:footnoteReference w:id="3"/>
      </w:r>
      <w:r>
        <w:t xml:space="preserve"> </w:t>
      </w:r>
      <w:r w:rsidR="00AE52ED">
        <w:t xml:space="preserve">This means the </w:t>
      </w:r>
      <w:r>
        <w:t>AER must approve a particular element of the access arrangement proposal if that element complies with the applicable requirements of the NGR and NGL and is consistent with any criteria set out in the NGR or NGL.</w:t>
      </w:r>
    </w:p>
    <w:p w14:paraId="784CA75F" w14:textId="77777777" w:rsidR="001A2EA4" w:rsidRDefault="001A2EA4" w:rsidP="00BA7D10">
      <w:pPr>
        <w:pStyle w:val="AERbodytext"/>
      </w:pPr>
      <w:r>
        <w:lastRenderedPageBreak/>
        <w:t>In assess</w:t>
      </w:r>
      <w:r w:rsidR="00233DAF">
        <w:t>ing Multinet's proposed capex for</w:t>
      </w:r>
      <w:r>
        <w:t xml:space="preserve"> 2012, the AER reviewed Multinet's supporting material. This included information on Multinet's reasoning and, where relevant, business cases, audited regulatory accounts, and other relevant information. This information helped the AER identify the need for the capex </w:t>
      </w:r>
      <w:r w:rsidR="00233DAF">
        <w:t>in</w:t>
      </w:r>
      <w:r>
        <w:t xml:space="preserve"> 2012 and, in turn, whether that capex should be included in the opening capital base in accordance with r. 77(2)(b) of the NGR.</w:t>
      </w:r>
    </w:p>
    <w:p w14:paraId="2FBDD3EF" w14:textId="77777777" w:rsidR="009D54A2" w:rsidRDefault="00BA7D10" w:rsidP="00BA7D10">
      <w:pPr>
        <w:pStyle w:val="AERbodytext"/>
      </w:pPr>
      <w:r>
        <w:t>The AER engaged Nous Group Pty Ltd to provide technical advice on the prudency and efficiency of Multinet's IT capex in 2012.</w:t>
      </w:r>
    </w:p>
    <w:p w14:paraId="20784B5F" w14:textId="77777777" w:rsidR="009D54A2" w:rsidRDefault="009D54A2" w:rsidP="009D54A2">
      <w:pPr>
        <w:pStyle w:val="Heading3"/>
      </w:pPr>
      <w:r>
        <w:t xml:space="preserve">Multinet’s </w:t>
      </w:r>
      <w:r w:rsidR="00F652FA">
        <w:t xml:space="preserve">audited </w:t>
      </w:r>
      <w:r>
        <w:t>regulatory accounts</w:t>
      </w:r>
    </w:p>
    <w:p w14:paraId="41F0434B" w14:textId="77777777" w:rsidR="009D54A2" w:rsidRDefault="009D54A2" w:rsidP="009D54A2">
      <w:pPr>
        <w:pStyle w:val="AERbodytext"/>
      </w:pPr>
      <w:r>
        <w:t xml:space="preserve">In accordance with the Tribunal's directions, in assessing Multinet's conforming capex for 2012 the AER had regard to Multinet's audited regulatory accounts. </w:t>
      </w:r>
    </w:p>
    <w:p w14:paraId="39526E89" w14:textId="77777777" w:rsidR="009D54A2" w:rsidRDefault="009D54A2" w:rsidP="009D54A2">
      <w:pPr>
        <w:pStyle w:val="AERbodytext"/>
      </w:pPr>
      <w:r>
        <w:t xml:space="preserve">In response to AER information requests, Multinet identified errors in the classification of </w:t>
      </w:r>
      <w:r w:rsidR="00F652FA">
        <w:t xml:space="preserve">its </w:t>
      </w:r>
      <w:r>
        <w:t>capex items for 2012.</w:t>
      </w:r>
      <w:r w:rsidR="005A77F6">
        <w:rPr>
          <w:rStyle w:val="FootnoteReference"/>
        </w:rPr>
        <w:footnoteReference w:id="4"/>
      </w:r>
      <w:r>
        <w:t xml:space="preserve"> In order to ensure the accuracy of the information forming the basis of the AER's assessment, the AER requested Multinet correct the errors and provide reaudited accounts.</w:t>
      </w:r>
      <w:r w:rsidR="001E4CE8">
        <w:rPr>
          <w:rStyle w:val="FootnoteReference"/>
        </w:rPr>
        <w:footnoteReference w:id="5"/>
      </w:r>
      <w:r>
        <w:t xml:space="preserve"> </w:t>
      </w:r>
    </w:p>
    <w:p w14:paraId="2A6752E4" w14:textId="77777777" w:rsidR="009D54A2" w:rsidRDefault="009D54A2" w:rsidP="009D54A2">
      <w:pPr>
        <w:pStyle w:val="AERbodytext"/>
      </w:pPr>
      <w:r>
        <w:t>Multinet provided the A</w:t>
      </w:r>
      <w:r w:rsidR="005626A9">
        <w:t>ER with reaudited accounts on 12 September 2013</w:t>
      </w:r>
      <w:r>
        <w:t>. The following assessment is based on</w:t>
      </w:r>
      <w:r w:rsidR="00C87846">
        <w:t xml:space="preserve"> </w:t>
      </w:r>
      <w:r>
        <w:t>those accounts.</w:t>
      </w:r>
    </w:p>
    <w:p w14:paraId="58E3B57D" w14:textId="77777777" w:rsidR="00BF194D" w:rsidRPr="000A1CC2" w:rsidRDefault="00BF194D" w:rsidP="008578F4">
      <w:pPr>
        <w:pStyle w:val="Heading2"/>
      </w:pPr>
      <w:bookmarkStart w:id="14" w:name="_Toc367893877"/>
      <w:bookmarkStart w:id="15" w:name="_Toc368044958"/>
      <w:r w:rsidRPr="00F02736">
        <w:t>Reasons</w:t>
      </w:r>
      <w:r>
        <w:t xml:space="preserve"> for decision</w:t>
      </w:r>
      <w:bookmarkEnd w:id="14"/>
      <w:bookmarkEnd w:id="15"/>
    </w:p>
    <w:p w14:paraId="32B6733F" w14:textId="77777777" w:rsidR="003E5A68" w:rsidRDefault="00F00094" w:rsidP="00F00094">
      <w:pPr>
        <w:pStyle w:val="AERbodytext"/>
      </w:pPr>
      <w:r>
        <w:t>Multinet</w:t>
      </w:r>
      <w:r w:rsidR="00822F5F">
        <w:t xml:space="preserve"> incurred</w:t>
      </w:r>
      <w:r>
        <w:t xml:space="preserve"> total net capex of $</w:t>
      </w:r>
      <w:r w:rsidR="003E5A68">
        <w:t>7</w:t>
      </w:r>
      <w:r w:rsidR="00822F5F">
        <w:t>5</w:t>
      </w:r>
      <w:r w:rsidR="003E5A68">
        <w:t>.</w:t>
      </w:r>
      <w:r w:rsidR="00822F5F">
        <w:t>7</w:t>
      </w:r>
      <w:r w:rsidR="003E5A68">
        <w:t xml:space="preserve"> </w:t>
      </w:r>
      <w:r>
        <w:t>million</w:t>
      </w:r>
      <w:r w:rsidR="00CD577A">
        <w:t xml:space="preserve"> ($2012)</w:t>
      </w:r>
      <w:r>
        <w:t xml:space="preserve"> </w:t>
      </w:r>
      <w:r w:rsidR="001927F1">
        <w:t>in</w:t>
      </w:r>
      <w:r>
        <w:t xml:space="preserve"> 2012. This is</w:t>
      </w:r>
      <w:r w:rsidR="00C87846">
        <w:t xml:space="preserve"> approximately $30.1 million ($2012)</w:t>
      </w:r>
      <w:r>
        <w:t xml:space="preserve"> above the </w:t>
      </w:r>
      <w:r w:rsidR="00BA215A">
        <w:t>2012</w:t>
      </w:r>
      <w:r>
        <w:t xml:space="preserve"> </w:t>
      </w:r>
      <w:r w:rsidR="00BA215A">
        <w:t>forecast</w:t>
      </w:r>
      <w:r>
        <w:t xml:space="preserve"> approved by the Essential Services Commission of Victoria (ESC)</w:t>
      </w:r>
      <w:r w:rsidR="003E5A68">
        <w:t>.</w:t>
      </w:r>
      <w:r w:rsidR="003E5A68">
        <w:rPr>
          <w:rStyle w:val="FootnoteReference"/>
        </w:rPr>
        <w:footnoteReference w:id="6"/>
      </w:r>
      <w:r w:rsidR="00BF2D37">
        <w:t xml:space="preserve"> </w:t>
      </w:r>
    </w:p>
    <w:p w14:paraId="1C7014E0" w14:textId="77777777" w:rsidR="001B0E70" w:rsidRDefault="00053206" w:rsidP="00F00094">
      <w:pPr>
        <w:pStyle w:val="AERbodytext"/>
      </w:pPr>
      <w:r>
        <w:t xml:space="preserve">The AER considers that </w:t>
      </w:r>
      <w:r w:rsidR="00C87846">
        <w:t xml:space="preserve">this capex complies </w:t>
      </w:r>
      <w:r>
        <w:t xml:space="preserve">with r. 79(1) of the </w:t>
      </w:r>
      <w:r w:rsidR="00DE2B37">
        <w:t>N</w:t>
      </w:r>
      <w:r>
        <w:t>GR.</w:t>
      </w:r>
    </w:p>
    <w:p w14:paraId="12DD98D0" w14:textId="77777777" w:rsidR="007E232C" w:rsidRDefault="007E232C" w:rsidP="00F00094">
      <w:pPr>
        <w:pStyle w:val="AERbodytext"/>
      </w:pPr>
      <w:r>
        <w:t xml:space="preserve">In assessing whether Multinet's capex for 2012 </w:t>
      </w:r>
      <w:r w:rsidR="00B33223">
        <w:t>complies with the criteria in the</w:t>
      </w:r>
      <w:r>
        <w:t xml:space="preserve"> NGR, the AER </w:t>
      </w:r>
      <w:r w:rsidR="00C87846">
        <w:t xml:space="preserve">first </w:t>
      </w:r>
      <w:r>
        <w:t>considered Multinet's actual</w:t>
      </w:r>
      <w:r w:rsidR="00B33223">
        <w:t xml:space="preserve"> 2012 capex against the ESC's benchmark allowance</w:t>
      </w:r>
      <w:r w:rsidR="00C36B32">
        <w:t xml:space="preserve"> for each capex category</w:t>
      </w:r>
      <w:r w:rsidR="00B33223">
        <w:t xml:space="preserve">. The AER identified that Multinet exceeded the </w:t>
      </w:r>
      <w:r w:rsidR="00C36B32">
        <w:t>be</w:t>
      </w:r>
      <w:r w:rsidR="00275597">
        <w:t xml:space="preserve">nchmark allowance in </w:t>
      </w:r>
      <w:r w:rsidR="001927F1">
        <w:t>four</w:t>
      </w:r>
      <w:r w:rsidR="00275597">
        <w:t xml:space="preserve"> out of </w:t>
      </w:r>
      <w:r w:rsidR="0022130C">
        <w:t>ten</w:t>
      </w:r>
      <w:r w:rsidR="00B33223">
        <w:t xml:space="preserve"> </w:t>
      </w:r>
      <w:r w:rsidR="001A3C8E">
        <w:t>categories</w:t>
      </w:r>
      <w:r w:rsidR="001927F1">
        <w:t>,</w:t>
      </w:r>
      <w:r w:rsidR="001A3C8E">
        <w:t xml:space="preserve"> being</w:t>
      </w:r>
      <w:r w:rsidR="0022130C">
        <w:t xml:space="preserve"> IT, residential connections, a</w:t>
      </w:r>
      <w:r w:rsidR="00275597">
        <w:t>ugmentation and Gas Extensions</w:t>
      </w:r>
      <w:r w:rsidR="001927F1">
        <w:t xml:space="preserve"> - NGEP</w:t>
      </w:r>
      <w:r w:rsidR="00275597">
        <w:t>.</w:t>
      </w:r>
    </w:p>
    <w:p w14:paraId="5A3C2952" w14:textId="77777777" w:rsidR="00275597" w:rsidRDefault="00275597" w:rsidP="00F00094">
      <w:pPr>
        <w:pStyle w:val="AERbodytext"/>
      </w:pPr>
      <w:r>
        <w:lastRenderedPageBreak/>
        <w:t xml:space="preserve">For </w:t>
      </w:r>
      <w:r w:rsidR="001A3C8E">
        <w:t>these categories</w:t>
      </w:r>
      <w:r>
        <w:t xml:space="preserve">, the AER inquired further into the justification for, and the prudency and efficiency of, </w:t>
      </w:r>
      <w:r w:rsidR="001A3C8E">
        <w:t>Multinet's</w:t>
      </w:r>
      <w:r>
        <w:t xml:space="preserve"> expenditure</w:t>
      </w:r>
      <w:r w:rsidR="001A3C8E">
        <w:t xml:space="preserve"> for 2012</w:t>
      </w:r>
      <w:r>
        <w:t>.</w:t>
      </w:r>
      <w:r w:rsidR="00B50747">
        <w:t xml:space="preserve"> For the remaining categories where Multinet underspent the benchmark allowance, the AER </w:t>
      </w:r>
      <w:r w:rsidR="00AE52ED">
        <w:t>accepts that lower expenditure as prudent and efficient</w:t>
      </w:r>
      <w:r w:rsidR="00B50747">
        <w:t>.</w:t>
      </w:r>
    </w:p>
    <w:p w14:paraId="510A0CC0" w14:textId="77777777" w:rsidR="003324F7" w:rsidRDefault="00B50747" w:rsidP="008578F4">
      <w:pPr>
        <w:pStyle w:val="Heading3"/>
      </w:pPr>
      <w:r>
        <w:t>I</w:t>
      </w:r>
      <w:r w:rsidR="009D54A2">
        <w:t>nformation technology</w:t>
      </w:r>
    </w:p>
    <w:p w14:paraId="0997F30D" w14:textId="77777777" w:rsidR="00AE2C5B" w:rsidRDefault="00847A76" w:rsidP="00AE2C5B">
      <w:pPr>
        <w:pStyle w:val="AERbodytext"/>
      </w:pPr>
      <w:r>
        <w:t xml:space="preserve">Multinet’s IT capex for 2012 was approximately $30 million ($2012). This </w:t>
      </w:r>
      <w:r w:rsidR="009D54A2">
        <w:t>exceeded the ESC benchmark for IT capex by approximately $29</w:t>
      </w:r>
      <w:r w:rsidR="00AE2C5B">
        <w:t>.6</w:t>
      </w:r>
      <w:r w:rsidR="009D54A2">
        <w:t xml:space="preserve"> million. </w:t>
      </w:r>
      <w:r w:rsidR="002B31E3">
        <w:t>The expenditure</w:t>
      </w:r>
      <w:r w:rsidR="00C87846">
        <w:t xml:space="preserve"> is significantly above the ESC benchmark and</w:t>
      </w:r>
      <w:r w:rsidR="002B31E3">
        <w:t xml:space="preserve"> ha</w:t>
      </w:r>
      <w:r w:rsidR="00C87846">
        <w:t>s</w:t>
      </w:r>
      <w:r w:rsidR="002B31E3">
        <w:t xml:space="preserve"> not previously been the subject of regulatory scrutiny</w:t>
      </w:r>
      <w:r w:rsidR="00C87846">
        <w:t>.</w:t>
      </w:r>
      <w:r w:rsidR="002B31E3">
        <w:t xml:space="preserve"> </w:t>
      </w:r>
      <w:r w:rsidR="00AE2C5B">
        <w:t>Consequently, the AER closely reviewed Multinet’s 2012 IT capex to determine whether it met the criteria for conforming capex in the NGR.</w:t>
      </w:r>
    </w:p>
    <w:p w14:paraId="2553F046" w14:textId="77777777" w:rsidR="00847A76" w:rsidRDefault="003562E5" w:rsidP="00AE2C5B">
      <w:pPr>
        <w:pStyle w:val="AERbodytext"/>
      </w:pPr>
      <w:r>
        <w:t>Multinet provided an expert opinion from Deloitte in support of its 2012 IT capex.</w:t>
      </w:r>
      <w:r>
        <w:rPr>
          <w:rStyle w:val="FootnoteReference"/>
        </w:rPr>
        <w:footnoteReference w:id="7"/>
      </w:r>
      <w:r>
        <w:t xml:space="preserve"> </w:t>
      </w:r>
      <w:r w:rsidR="00847A76">
        <w:t xml:space="preserve">Multinet’s </w:t>
      </w:r>
      <w:r w:rsidR="00277752">
        <w:t>expenditure</w:t>
      </w:r>
      <w:r w:rsidR="00847A76">
        <w:t xml:space="preserve"> was driven by two</w:t>
      </w:r>
      <w:r w:rsidR="006203B2">
        <w:t xml:space="preserve"> major</w:t>
      </w:r>
      <w:r w:rsidR="00847A76">
        <w:t xml:space="preserve"> projects, its </w:t>
      </w:r>
      <w:r w:rsidR="00847A76" w:rsidRPr="00005C59">
        <w:rPr>
          <w:i/>
        </w:rPr>
        <w:t>Customer, Outage and Market System replacement project</w:t>
      </w:r>
      <w:r>
        <w:rPr>
          <w:i/>
        </w:rPr>
        <w:t xml:space="preserve"> </w:t>
      </w:r>
      <w:r w:rsidRPr="003562E5">
        <w:t>(COMS)</w:t>
      </w:r>
      <w:r w:rsidR="00847A76">
        <w:t xml:space="preserve"> and its </w:t>
      </w:r>
      <w:r w:rsidR="00847A76" w:rsidRPr="00005C59">
        <w:rPr>
          <w:i/>
        </w:rPr>
        <w:t>SAP ERP replacement project</w:t>
      </w:r>
      <w:r w:rsidR="00847A76">
        <w:t>.</w:t>
      </w:r>
      <w:r w:rsidR="00AE2C5B">
        <w:rPr>
          <w:rStyle w:val="FootnoteReference"/>
        </w:rPr>
        <w:footnoteReference w:id="8"/>
      </w:r>
      <w:r w:rsidR="00847A76">
        <w:t xml:space="preserve"> </w:t>
      </w:r>
      <w:r>
        <w:t xml:space="preserve"> </w:t>
      </w:r>
      <w:r w:rsidR="00847A76">
        <w:t xml:space="preserve">Together these accounted for </w:t>
      </w:r>
      <w:r w:rsidR="00005C59">
        <w:t xml:space="preserve">around </w:t>
      </w:r>
      <w:r w:rsidR="00847A76">
        <w:t>$23</w:t>
      </w:r>
      <w:r w:rsidR="00AE2C5B">
        <w:t> </w:t>
      </w:r>
      <w:r w:rsidR="00847A76">
        <w:t xml:space="preserve">million of </w:t>
      </w:r>
      <w:r w:rsidR="00277752">
        <w:t>expenditure</w:t>
      </w:r>
      <w:r w:rsidR="00847A76">
        <w:t>.</w:t>
      </w:r>
      <w:r w:rsidR="00AE2C5B">
        <w:t xml:space="preserve"> The</w:t>
      </w:r>
      <w:r w:rsidR="00277752">
        <w:t xml:space="preserve"> COMS and SAP ERP replacement</w:t>
      </w:r>
      <w:r w:rsidR="00AE2C5B">
        <w:t xml:space="preserve"> projects were not envisaged at the time of the ESC’s access arrangement review in 2007</w:t>
      </w:r>
      <w:r w:rsidR="00277752">
        <w:t>, and account for a significant amount of the difference between forecast and actual capex</w:t>
      </w:r>
      <w:r w:rsidR="00AE2C5B">
        <w:t>.</w:t>
      </w:r>
    </w:p>
    <w:p w14:paraId="203569E6" w14:textId="77777777" w:rsidR="003562E5" w:rsidRDefault="00087BE3" w:rsidP="00AE2C5B">
      <w:pPr>
        <w:pStyle w:val="AERbodytext"/>
        <w:numPr>
          <w:ilvl w:val="0"/>
          <w:numId w:val="0"/>
        </w:numPr>
      </w:pPr>
      <w:r>
        <w:t xml:space="preserve">The AER engaged Nous Group Pty Ltd to give an expert opinion on Multinet’s 2012 IT capex. Nous considered the majority of Multinet’s </w:t>
      </w:r>
      <w:r w:rsidR="00AE2C5B">
        <w:t xml:space="preserve">IT </w:t>
      </w:r>
      <w:r>
        <w:t>capex was prudent and efficient.</w:t>
      </w:r>
      <w:r w:rsidR="003562E5">
        <w:t xml:space="preserve"> In particular, Nous considered that the COMS and SAP ERP replacement programs were necessary to replace aging or unsupported IT systems. </w:t>
      </w:r>
    </w:p>
    <w:p w14:paraId="3C2C666F" w14:textId="77777777" w:rsidR="008E0BAD" w:rsidRDefault="00087BE3" w:rsidP="00AE2C5B">
      <w:pPr>
        <w:pStyle w:val="AERbodytext"/>
        <w:numPr>
          <w:ilvl w:val="0"/>
          <w:numId w:val="0"/>
        </w:numPr>
      </w:pPr>
      <w:r>
        <w:t xml:space="preserve">Nous </w:t>
      </w:r>
      <w:r w:rsidR="00277752">
        <w:t xml:space="preserve">initially </w:t>
      </w:r>
      <w:r>
        <w:t xml:space="preserve">identified $2.7 million of capex that it considered may not </w:t>
      </w:r>
      <w:r w:rsidR="002C0762">
        <w:t xml:space="preserve">have </w:t>
      </w:r>
      <w:r>
        <w:t>be</w:t>
      </w:r>
      <w:r w:rsidR="002C0762">
        <w:t>en</w:t>
      </w:r>
      <w:r>
        <w:t xml:space="preserve"> carried out by a prudent or efficient service provider. This expenditure related to project management</w:t>
      </w:r>
      <w:r w:rsidR="002C0762">
        <w:t>,</w:t>
      </w:r>
      <w:r>
        <w:t xml:space="preserve"> administration, </w:t>
      </w:r>
      <w:r w:rsidR="00277752">
        <w:t>and licence costs</w:t>
      </w:r>
      <w:r>
        <w:t>.</w:t>
      </w:r>
      <w:r w:rsidR="002C0762">
        <w:rPr>
          <w:rStyle w:val="FootnoteReference"/>
        </w:rPr>
        <w:footnoteReference w:id="9"/>
      </w:r>
      <w:r w:rsidR="00416895">
        <w:t xml:space="preserve"> In Nous’ opinion, these projects and related expenses were considered to be inefficiently delivered</w:t>
      </w:r>
      <w:r w:rsidR="00340118">
        <w:t>, because</w:t>
      </w:r>
      <w:r w:rsidR="00EB68BC">
        <w:t>:</w:t>
      </w:r>
      <w:r w:rsidR="00277752">
        <w:t xml:space="preserve"> </w:t>
      </w:r>
    </w:p>
    <w:p w14:paraId="0E628DEA" w14:textId="77777777" w:rsidR="008E0BAD" w:rsidRDefault="00277752" w:rsidP="008E0BAD">
      <w:pPr>
        <w:pStyle w:val="AERbulletlistfirststyle"/>
      </w:pPr>
      <w:r>
        <w:t>they arose from foreseeable</w:t>
      </w:r>
      <w:r w:rsidR="00340118">
        <w:t xml:space="preserve"> delays in</w:t>
      </w:r>
      <w:r>
        <w:t xml:space="preserve"> project</w:t>
      </w:r>
      <w:r w:rsidR="00340118">
        <w:t xml:space="preserve"> delivery</w:t>
      </w:r>
      <w:r w:rsidR="00EB68BC">
        <w:t xml:space="preserve"> that could have been more efficiently managed;</w:t>
      </w:r>
    </w:p>
    <w:p w14:paraId="75EAF876" w14:textId="77777777" w:rsidR="008E0BAD" w:rsidRDefault="00277752" w:rsidP="008E0BAD">
      <w:pPr>
        <w:pStyle w:val="AERbulletlistfirststyle"/>
      </w:pPr>
      <w:r>
        <w:t>the expenditure was higher than would be expected from an efficient provider</w:t>
      </w:r>
      <w:r w:rsidR="008E0BAD">
        <w:t>; or</w:t>
      </w:r>
    </w:p>
    <w:p w14:paraId="524AB862" w14:textId="77777777" w:rsidR="00845953" w:rsidRDefault="00EB68BC" w:rsidP="008E0BAD">
      <w:pPr>
        <w:pStyle w:val="AERbulletlistfirststyle"/>
      </w:pPr>
      <w:r>
        <w:t>they involved the inefficient procurement of licences</w:t>
      </w:r>
      <w:r w:rsidR="00277752">
        <w:t>.</w:t>
      </w:r>
    </w:p>
    <w:p w14:paraId="179068A3" w14:textId="77777777" w:rsidR="00AE2C5B" w:rsidRDefault="00AE2C5B" w:rsidP="009D54A2">
      <w:pPr>
        <w:pStyle w:val="AERbodytext"/>
      </w:pPr>
      <w:r>
        <w:lastRenderedPageBreak/>
        <w:t>Multinet provided a submission and supporting material in response to Nous’ report.</w:t>
      </w:r>
      <w:r w:rsidR="005F2AD9">
        <w:rPr>
          <w:rStyle w:val="FootnoteReference"/>
        </w:rPr>
        <w:footnoteReference w:id="10"/>
      </w:r>
      <w:r w:rsidR="000C405E">
        <w:t xml:space="preserve"> Multinet disputed Nous’ findings and pointed to further information supporting its position.</w:t>
      </w:r>
      <w:r w:rsidR="00277752">
        <w:t xml:space="preserve"> Nous provided updated information in response to M</w:t>
      </w:r>
      <w:r w:rsidR="000C405E">
        <w:t>ultinet’s submission.</w:t>
      </w:r>
      <w:r w:rsidR="006C1B25">
        <w:rPr>
          <w:rStyle w:val="FootnoteReference"/>
        </w:rPr>
        <w:footnoteReference w:id="11"/>
      </w:r>
      <w:r w:rsidR="000C405E">
        <w:t xml:space="preserve"> In light of the further information, Nous’ revised its original pfindings, and identified $386,000 of Multinet’s IT capex as being non-conforming. Nous accepted that a larger portion of Multinet’s IT project management expenditure and software licence fees were likely to be prudent and efficient.</w:t>
      </w:r>
    </w:p>
    <w:p w14:paraId="1A0AF14F" w14:textId="77777777" w:rsidR="000E7F51" w:rsidRDefault="00EB68BC" w:rsidP="009D54A2">
      <w:pPr>
        <w:pStyle w:val="AERbodytext"/>
      </w:pPr>
      <w:r>
        <w:t>The AER considered the expert reports put forward by Nous and Deloitte, along with the further inf</w:t>
      </w:r>
      <w:r w:rsidR="000E7F51">
        <w:t>ormation submitted by Multinet.</w:t>
      </w:r>
    </w:p>
    <w:p w14:paraId="30D8311A" w14:textId="77777777" w:rsidR="00EB68BC" w:rsidRDefault="000E7F51" w:rsidP="009D54A2">
      <w:pPr>
        <w:pStyle w:val="AERbodytext"/>
      </w:pPr>
      <w:r>
        <w:t xml:space="preserve">The AER accepts that </w:t>
      </w:r>
      <w:r w:rsidR="00EB68BC">
        <w:t xml:space="preserve">Multinet needed to commit to significantly higher </w:t>
      </w:r>
      <w:r>
        <w:t>IT capex</w:t>
      </w:r>
      <w:r w:rsidR="00EB68BC">
        <w:t xml:space="preserve"> in 2012 than was envisaged at the time of the last access arrangement review.</w:t>
      </w:r>
      <w:r w:rsidR="0093157A">
        <w:t xml:space="preserve"> Multinet was in a position in 2012 where it needed to replace major parts of its IT systems in order to maintain its services.</w:t>
      </w:r>
      <w:r>
        <w:t xml:space="preserve"> T</w:t>
      </w:r>
      <w:r w:rsidR="00EB68BC">
        <w:t>he expert opinion from Nous</w:t>
      </w:r>
      <w:r w:rsidR="0093157A">
        <w:t xml:space="preserve"> acknowledged this need, but </w:t>
      </w:r>
      <w:r w:rsidR="00EB68BC">
        <w:t>indicated that Multinet could have potentially delivered aspects of its IT capex program in a more efficient manner.</w:t>
      </w:r>
    </w:p>
    <w:p w14:paraId="70E07E45" w14:textId="77777777" w:rsidR="00F601A5" w:rsidRPr="009D54A2" w:rsidRDefault="000E7F51" w:rsidP="009D54A2">
      <w:pPr>
        <w:pStyle w:val="AERbodytext"/>
      </w:pPr>
      <w:r>
        <w:t>While it may be the case that Multinet could have</w:t>
      </w:r>
      <w:r w:rsidR="00E25D70">
        <w:t xml:space="preserve"> potentially</w:t>
      </w:r>
      <w:r>
        <w:t xml:space="preserve"> made cost savings on aspects of its 2012 IT program, the AER is of the view that these are relatively minor</w:t>
      </w:r>
      <w:r w:rsidR="0093157A">
        <w:t xml:space="preserve"> in scope, particularly when set against Multinet’s need to make significant investments in IT.</w:t>
      </w:r>
      <w:r w:rsidR="00E25D70">
        <w:t xml:space="preserve"> </w:t>
      </w:r>
      <w:r w:rsidR="0093157A">
        <w:t>The AER considers that, overall, Multinet’s expenditure was necessary to maintain the integrity of services.</w:t>
      </w:r>
    </w:p>
    <w:p w14:paraId="6F59165F" w14:textId="77777777" w:rsidR="00B50747" w:rsidRDefault="0096597E" w:rsidP="008578F4">
      <w:pPr>
        <w:pStyle w:val="Heading3"/>
      </w:pPr>
      <w:r>
        <w:t>Non-IT capex</w:t>
      </w:r>
    </w:p>
    <w:p w14:paraId="47BC3DB6" w14:textId="77777777" w:rsidR="0059631A" w:rsidRDefault="00F5346D" w:rsidP="00B50747">
      <w:pPr>
        <w:pStyle w:val="AERbodytext"/>
      </w:pPr>
      <w:r>
        <w:t>Multinet’s non-IT capex for 2012 was $</w:t>
      </w:r>
      <w:r w:rsidR="006D010C">
        <w:t>45.7</w:t>
      </w:r>
      <w:r>
        <w:t xml:space="preserve"> million ($2012). </w:t>
      </w:r>
      <w:r w:rsidR="006D010C">
        <w:t xml:space="preserve">Multinet’s capex was above the ESC’s forecast benchmark amounts in three categories, augmentation, residential connections and extensions. </w:t>
      </w:r>
      <w:r w:rsidR="0059631A">
        <w:t>Table 2.2 shows a comparison of Multinet’s actual expenditure on these categories with the ESC forecast amounts.</w:t>
      </w:r>
    </w:p>
    <w:p w14:paraId="1B984B0F" w14:textId="77777777" w:rsidR="0059631A" w:rsidRDefault="0059631A" w:rsidP="0059631A">
      <w:pPr>
        <w:pStyle w:val="Caption"/>
      </w:pPr>
      <w:r>
        <w:t xml:space="preserve">Table </w:t>
      </w:r>
      <w:fldSimple w:instr=" STYLEREF 1 \s ">
        <w:r w:rsidR="00323C9D">
          <w:rPr>
            <w:noProof/>
          </w:rPr>
          <w:t>2</w:t>
        </w:r>
      </w:fldSimple>
      <w:r>
        <w:t>.</w:t>
      </w:r>
      <w:fldSimple w:instr=" SEQ Table \* ARABIC \s 1 ">
        <w:r w:rsidR="00323C9D">
          <w:rPr>
            <w:noProof/>
          </w:rPr>
          <w:t>2</w:t>
        </w:r>
      </w:fldSimple>
      <w:r>
        <w:tab/>
        <w:t>Comparison of Multinet’s actual 2012 capex with the ESC’s forecast amounts (Smillion, 2012)</w:t>
      </w:r>
    </w:p>
    <w:tbl>
      <w:tblPr>
        <w:tblStyle w:val="AERtable-numbers"/>
        <w:tblW w:w="0" w:type="auto"/>
        <w:tblLook w:val="04A0" w:firstRow="1" w:lastRow="0" w:firstColumn="1" w:lastColumn="0" w:noHBand="0" w:noVBand="1"/>
      </w:tblPr>
      <w:tblGrid>
        <w:gridCol w:w="2263"/>
        <w:gridCol w:w="2253"/>
        <w:gridCol w:w="2254"/>
        <w:gridCol w:w="2256"/>
      </w:tblGrid>
      <w:tr w:rsidR="0059631A" w14:paraId="75A0BD33" w14:textId="77777777" w:rsidTr="005963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3C842D0E" w14:textId="77777777" w:rsidR="0059631A" w:rsidRDefault="0059631A" w:rsidP="00B50747">
            <w:pPr>
              <w:pStyle w:val="AERbodytext"/>
            </w:pPr>
            <w:r>
              <w:t>Category</w:t>
            </w:r>
          </w:p>
        </w:tc>
        <w:tc>
          <w:tcPr>
            <w:tcW w:w="2310" w:type="dxa"/>
          </w:tcPr>
          <w:p w14:paraId="35C14B2D" w14:textId="77777777" w:rsidR="0059631A" w:rsidRDefault="0059631A" w:rsidP="0059631A">
            <w:pPr>
              <w:pStyle w:val="AERbodytext"/>
              <w:jc w:val="right"/>
              <w:cnfStyle w:val="100000000000" w:firstRow="1" w:lastRow="0" w:firstColumn="0" w:lastColumn="0" w:oddVBand="0" w:evenVBand="0" w:oddHBand="0" w:evenHBand="0" w:firstRowFirstColumn="0" w:firstRowLastColumn="0" w:lastRowFirstColumn="0" w:lastRowLastColumn="0"/>
            </w:pPr>
            <w:r>
              <w:t>ESC approved forecast</w:t>
            </w:r>
          </w:p>
        </w:tc>
        <w:tc>
          <w:tcPr>
            <w:tcW w:w="2311" w:type="dxa"/>
          </w:tcPr>
          <w:p w14:paraId="536DD610" w14:textId="77777777" w:rsidR="0059631A" w:rsidRDefault="0059631A" w:rsidP="0059631A">
            <w:pPr>
              <w:pStyle w:val="AERbodytext"/>
              <w:jc w:val="right"/>
              <w:cnfStyle w:val="100000000000" w:firstRow="1" w:lastRow="0" w:firstColumn="0" w:lastColumn="0" w:oddVBand="0" w:evenVBand="0" w:oddHBand="0" w:evenHBand="0" w:firstRowFirstColumn="0" w:firstRowLastColumn="0" w:lastRowFirstColumn="0" w:lastRowLastColumn="0"/>
            </w:pPr>
            <w:r>
              <w:t>Multinet’s actual capex</w:t>
            </w:r>
          </w:p>
        </w:tc>
        <w:tc>
          <w:tcPr>
            <w:tcW w:w="2311" w:type="dxa"/>
          </w:tcPr>
          <w:p w14:paraId="37BA000D" w14:textId="77777777" w:rsidR="0059631A" w:rsidRDefault="0059631A" w:rsidP="0059631A">
            <w:pPr>
              <w:pStyle w:val="AERbodytext"/>
              <w:jc w:val="right"/>
              <w:cnfStyle w:val="100000000000" w:firstRow="1" w:lastRow="0" w:firstColumn="0" w:lastColumn="0" w:oddVBand="0" w:evenVBand="0" w:oddHBand="0" w:evenHBand="0" w:firstRowFirstColumn="0" w:firstRowLastColumn="0" w:lastRowFirstColumn="0" w:lastRowLastColumn="0"/>
            </w:pPr>
            <w:r>
              <w:t>Difference (%)</w:t>
            </w:r>
          </w:p>
        </w:tc>
      </w:tr>
      <w:tr w:rsidR="0059631A" w14:paraId="7CBBD2C5" w14:textId="77777777" w:rsidTr="0059631A">
        <w:tc>
          <w:tcPr>
            <w:cnfStyle w:val="001000000000" w:firstRow="0" w:lastRow="0" w:firstColumn="1" w:lastColumn="0" w:oddVBand="0" w:evenVBand="0" w:oddHBand="0" w:evenHBand="0" w:firstRowFirstColumn="0" w:firstRowLastColumn="0" w:lastRowFirstColumn="0" w:lastRowLastColumn="0"/>
            <w:tcW w:w="2310" w:type="dxa"/>
          </w:tcPr>
          <w:p w14:paraId="32873C7F" w14:textId="77777777" w:rsidR="0059631A" w:rsidRDefault="0059631A" w:rsidP="00B50747">
            <w:pPr>
              <w:pStyle w:val="AERbodytext"/>
            </w:pPr>
            <w:r>
              <w:lastRenderedPageBreak/>
              <w:t>Augmentation</w:t>
            </w:r>
          </w:p>
        </w:tc>
        <w:tc>
          <w:tcPr>
            <w:tcW w:w="2310" w:type="dxa"/>
          </w:tcPr>
          <w:p w14:paraId="0928AE6E" w14:textId="77777777" w:rsidR="0059631A" w:rsidRDefault="0059631A" w:rsidP="0059631A">
            <w:pPr>
              <w:pStyle w:val="AERbodytext"/>
              <w:jc w:val="right"/>
              <w:cnfStyle w:val="000000000000" w:firstRow="0" w:lastRow="0" w:firstColumn="0" w:lastColumn="0" w:oddVBand="0" w:evenVBand="0" w:oddHBand="0" w:evenHBand="0" w:firstRowFirstColumn="0" w:firstRowLastColumn="0" w:lastRowFirstColumn="0" w:lastRowLastColumn="0"/>
            </w:pPr>
            <w:r>
              <w:t>5.2</w:t>
            </w:r>
          </w:p>
        </w:tc>
        <w:tc>
          <w:tcPr>
            <w:tcW w:w="2311" w:type="dxa"/>
          </w:tcPr>
          <w:p w14:paraId="78B860B7" w14:textId="77777777" w:rsidR="0059631A" w:rsidRDefault="0059631A" w:rsidP="0059631A">
            <w:pPr>
              <w:pStyle w:val="AERbodytext"/>
              <w:jc w:val="right"/>
              <w:cnfStyle w:val="000000000000" w:firstRow="0" w:lastRow="0" w:firstColumn="0" w:lastColumn="0" w:oddVBand="0" w:evenVBand="0" w:oddHBand="0" w:evenHBand="0" w:firstRowFirstColumn="0" w:firstRowLastColumn="0" w:lastRowFirstColumn="0" w:lastRowLastColumn="0"/>
            </w:pPr>
            <w:r>
              <w:t>17.3</w:t>
            </w:r>
          </w:p>
        </w:tc>
        <w:tc>
          <w:tcPr>
            <w:tcW w:w="2311" w:type="dxa"/>
          </w:tcPr>
          <w:p w14:paraId="54633382" w14:textId="77777777" w:rsidR="0059631A" w:rsidRDefault="0059631A" w:rsidP="0059631A">
            <w:pPr>
              <w:pStyle w:val="AERbodytext"/>
              <w:jc w:val="right"/>
              <w:cnfStyle w:val="000000000000" w:firstRow="0" w:lastRow="0" w:firstColumn="0" w:lastColumn="0" w:oddVBand="0" w:evenVBand="0" w:oddHBand="0" w:evenHBand="0" w:firstRowFirstColumn="0" w:firstRowLastColumn="0" w:lastRowFirstColumn="0" w:lastRowLastColumn="0"/>
            </w:pPr>
            <w:r>
              <w:t>232</w:t>
            </w:r>
          </w:p>
        </w:tc>
      </w:tr>
      <w:tr w:rsidR="0059631A" w14:paraId="268164C0" w14:textId="77777777" w:rsidTr="0059631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4C91D9E2" w14:textId="77777777" w:rsidR="0059631A" w:rsidRDefault="0059631A" w:rsidP="00B50747">
            <w:pPr>
              <w:pStyle w:val="AERbodytext"/>
            </w:pPr>
            <w:r>
              <w:t>Residential connections</w:t>
            </w:r>
          </w:p>
        </w:tc>
        <w:tc>
          <w:tcPr>
            <w:tcW w:w="2310" w:type="dxa"/>
          </w:tcPr>
          <w:p w14:paraId="126098EF" w14:textId="77777777" w:rsidR="0059631A" w:rsidRDefault="0059631A" w:rsidP="0059631A">
            <w:pPr>
              <w:pStyle w:val="AERbodytext"/>
              <w:jc w:val="right"/>
              <w:cnfStyle w:val="000000010000" w:firstRow="0" w:lastRow="0" w:firstColumn="0" w:lastColumn="0" w:oddVBand="0" w:evenVBand="0" w:oddHBand="0" w:evenHBand="1" w:firstRowFirstColumn="0" w:firstRowLastColumn="0" w:lastRowFirstColumn="0" w:lastRowLastColumn="0"/>
            </w:pPr>
            <w:r>
              <w:t>12.7</w:t>
            </w:r>
          </w:p>
        </w:tc>
        <w:tc>
          <w:tcPr>
            <w:tcW w:w="2311" w:type="dxa"/>
          </w:tcPr>
          <w:p w14:paraId="1ED7B688" w14:textId="77777777" w:rsidR="0059631A" w:rsidRDefault="0059631A" w:rsidP="0059631A">
            <w:pPr>
              <w:pStyle w:val="AERbodytext"/>
              <w:jc w:val="right"/>
              <w:cnfStyle w:val="000000010000" w:firstRow="0" w:lastRow="0" w:firstColumn="0" w:lastColumn="0" w:oddVBand="0" w:evenVBand="0" w:oddHBand="0" w:evenHBand="1" w:firstRowFirstColumn="0" w:firstRowLastColumn="0" w:lastRowFirstColumn="0" w:lastRowLastColumn="0"/>
            </w:pPr>
            <w:r>
              <w:t>14.5</w:t>
            </w:r>
          </w:p>
        </w:tc>
        <w:tc>
          <w:tcPr>
            <w:tcW w:w="2311" w:type="dxa"/>
          </w:tcPr>
          <w:p w14:paraId="5482519A" w14:textId="77777777" w:rsidR="0059631A" w:rsidRDefault="0059631A" w:rsidP="0059631A">
            <w:pPr>
              <w:pStyle w:val="AERbodytext"/>
              <w:jc w:val="right"/>
              <w:cnfStyle w:val="000000010000" w:firstRow="0" w:lastRow="0" w:firstColumn="0" w:lastColumn="0" w:oddVBand="0" w:evenVBand="0" w:oddHBand="0" w:evenHBand="1" w:firstRowFirstColumn="0" w:firstRowLastColumn="0" w:lastRowFirstColumn="0" w:lastRowLastColumn="0"/>
            </w:pPr>
            <w:r>
              <w:t>14</w:t>
            </w:r>
          </w:p>
        </w:tc>
      </w:tr>
      <w:tr w:rsidR="0059631A" w14:paraId="5C875FA4" w14:textId="77777777" w:rsidTr="0059631A">
        <w:tc>
          <w:tcPr>
            <w:cnfStyle w:val="001000000000" w:firstRow="0" w:lastRow="0" w:firstColumn="1" w:lastColumn="0" w:oddVBand="0" w:evenVBand="0" w:oddHBand="0" w:evenHBand="0" w:firstRowFirstColumn="0" w:firstRowLastColumn="0" w:lastRowFirstColumn="0" w:lastRowLastColumn="0"/>
            <w:tcW w:w="2310" w:type="dxa"/>
          </w:tcPr>
          <w:p w14:paraId="4D02F17E" w14:textId="77777777" w:rsidR="0059631A" w:rsidRDefault="0059631A" w:rsidP="00B50747">
            <w:pPr>
              <w:pStyle w:val="AERbodytext"/>
            </w:pPr>
            <w:r>
              <w:t>Gas extensions – NGEP</w:t>
            </w:r>
          </w:p>
        </w:tc>
        <w:tc>
          <w:tcPr>
            <w:tcW w:w="2310" w:type="dxa"/>
          </w:tcPr>
          <w:p w14:paraId="04F73D27" w14:textId="77777777" w:rsidR="0059631A" w:rsidRDefault="0059631A" w:rsidP="0059631A">
            <w:pPr>
              <w:pStyle w:val="AERbodytext"/>
              <w:jc w:val="right"/>
              <w:cnfStyle w:val="000000000000" w:firstRow="0" w:lastRow="0" w:firstColumn="0" w:lastColumn="0" w:oddVBand="0" w:evenVBand="0" w:oddHBand="0" w:evenHBand="0" w:firstRowFirstColumn="0" w:firstRowLastColumn="0" w:lastRowFirstColumn="0" w:lastRowLastColumn="0"/>
            </w:pPr>
            <w:r>
              <w:t>0.2</w:t>
            </w:r>
          </w:p>
        </w:tc>
        <w:tc>
          <w:tcPr>
            <w:tcW w:w="2311" w:type="dxa"/>
          </w:tcPr>
          <w:p w14:paraId="1BF1B47F" w14:textId="77777777" w:rsidR="0059631A" w:rsidRDefault="0059631A" w:rsidP="0059631A">
            <w:pPr>
              <w:pStyle w:val="AERbodytext"/>
              <w:jc w:val="right"/>
              <w:cnfStyle w:val="000000000000" w:firstRow="0" w:lastRow="0" w:firstColumn="0" w:lastColumn="0" w:oddVBand="0" w:evenVBand="0" w:oddHBand="0" w:evenHBand="0" w:firstRowFirstColumn="0" w:firstRowLastColumn="0" w:lastRowFirstColumn="0" w:lastRowLastColumn="0"/>
            </w:pPr>
            <w:r>
              <w:t>1.4</w:t>
            </w:r>
          </w:p>
        </w:tc>
        <w:tc>
          <w:tcPr>
            <w:tcW w:w="2311" w:type="dxa"/>
          </w:tcPr>
          <w:p w14:paraId="22A62FE0" w14:textId="77777777" w:rsidR="0059631A" w:rsidRDefault="0059631A" w:rsidP="0059631A">
            <w:pPr>
              <w:pStyle w:val="AERbodytext"/>
              <w:jc w:val="right"/>
              <w:cnfStyle w:val="000000000000" w:firstRow="0" w:lastRow="0" w:firstColumn="0" w:lastColumn="0" w:oddVBand="0" w:evenVBand="0" w:oddHBand="0" w:evenHBand="0" w:firstRowFirstColumn="0" w:firstRowLastColumn="0" w:lastRowFirstColumn="0" w:lastRowLastColumn="0"/>
            </w:pPr>
            <w:r>
              <w:t>600</w:t>
            </w:r>
          </w:p>
        </w:tc>
      </w:tr>
      <w:tr w:rsidR="0059631A" w14:paraId="64E3A719" w14:textId="77777777" w:rsidTr="0059631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506D0A6B" w14:textId="77777777" w:rsidR="0059631A" w:rsidRDefault="0059631A" w:rsidP="00B50747">
            <w:pPr>
              <w:pStyle w:val="AERbodytext"/>
            </w:pPr>
            <w:r>
              <w:t>Total non-IT capex</w:t>
            </w:r>
          </w:p>
        </w:tc>
        <w:tc>
          <w:tcPr>
            <w:tcW w:w="2310" w:type="dxa"/>
          </w:tcPr>
          <w:p w14:paraId="02357DAC" w14:textId="77777777" w:rsidR="0059631A" w:rsidRDefault="0059631A" w:rsidP="0059631A">
            <w:pPr>
              <w:pStyle w:val="AERbodytext"/>
              <w:jc w:val="right"/>
              <w:cnfStyle w:val="000000010000" w:firstRow="0" w:lastRow="0" w:firstColumn="0" w:lastColumn="0" w:oddVBand="0" w:evenVBand="0" w:oddHBand="0" w:evenHBand="1" w:firstRowFirstColumn="0" w:firstRowLastColumn="0" w:lastRowFirstColumn="0" w:lastRowLastColumn="0"/>
            </w:pPr>
            <w:r>
              <w:t>45.3</w:t>
            </w:r>
          </w:p>
        </w:tc>
        <w:tc>
          <w:tcPr>
            <w:tcW w:w="2311" w:type="dxa"/>
          </w:tcPr>
          <w:p w14:paraId="5922D7F2" w14:textId="77777777" w:rsidR="0059631A" w:rsidRDefault="0059631A" w:rsidP="0059631A">
            <w:pPr>
              <w:pStyle w:val="AERbodytext"/>
              <w:jc w:val="right"/>
              <w:cnfStyle w:val="000000010000" w:firstRow="0" w:lastRow="0" w:firstColumn="0" w:lastColumn="0" w:oddVBand="0" w:evenVBand="0" w:oddHBand="0" w:evenHBand="1" w:firstRowFirstColumn="0" w:firstRowLastColumn="0" w:lastRowFirstColumn="0" w:lastRowLastColumn="0"/>
            </w:pPr>
            <w:r>
              <w:t>45.7</w:t>
            </w:r>
          </w:p>
        </w:tc>
        <w:tc>
          <w:tcPr>
            <w:tcW w:w="2311" w:type="dxa"/>
          </w:tcPr>
          <w:p w14:paraId="28C33C0E" w14:textId="77777777" w:rsidR="0059631A" w:rsidRDefault="0059631A" w:rsidP="0059631A">
            <w:pPr>
              <w:pStyle w:val="AERbodytext"/>
              <w:jc w:val="right"/>
              <w:cnfStyle w:val="000000010000" w:firstRow="0" w:lastRow="0" w:firstColumn="0" w:lastColumn="0" w:oddVBand="0" w:evenVBand="0" w:oddHBand="0" w:evenHBand="1" w:firstRowFirstColumn="0" w:firstRowLastColumn="0" w:lastRowFirstColumn="0" w:lastRowLastColumn="0"/>
            </w:pPr>
            <w:r>
              <w:t>1</w:t>
            </w:r>
          </w:p>
        </w:tc>
      </w:tr>
    </w:tbl>
    <w:p w14:paraId="0C8E44E6" w14:textId="77777777" w:rsidR="0059631A" w:rsidRDefault="0059631A" w:rsidP="00B50747">
      <w:pPr>
        <w:pStyle w:val="AERbodytext"/>
      </w:pPr>
    </w:p>
    <w:p w14:paraId="48F5E4BA" w14:textId="77777777" w:rsidR="00F5346D" w:rsidRDefault="006D010C" w:rsidP="00B50747">
      <w:pPr>
        <w:pStyle w:val="AERbodytext"/>
      </w:pPr>
      <w:r>
        <w:t xml:space="preserve">The AER sought further information from Multinet on </w:t>
      </w:r>
      <w:r w:rsidR="003147E8">
        <w:t xml:space="preserve">the justification for its expenditure in these categories. </w:t>
      </w:r>
      <w:r w:rsidR="0001759C">
        <w:t xml:space="preserve">The AER took into account this information. </w:t>
      </w:r>
      <w:r w:rsidR="003147E8">
        <w:t>The AER found that:</w:t>
      </w:r>
    </w:p>
    <w:p w14:paraId="1C547DC0" w14:textId="77777777" w:rsidR="003147E8" w:rsidRDefault="003147E8" w:rsidP="003147E8">
      <w:pPr>
        <w:pStyle w:val="AERbulletlistfirststyle"/>
      </w:pPr>
      <w:r>
        <w:t xml:space="preserve">Multinet’s </w:t>
      </w:r>
      <w:r w:rsidR="009C30C4">
        <w:t xml:space="preserve">augmentation </w:t>
      </w:r>
      <w:r>
        <w:t>costs were largely influenced by spending on the Lilydale pipeline</w:t>
      </w:r>
      <w:r w:rsidR="009C30C4">
        <w:t xml:space="preserve"> project</w:t>
      </w:r>
      <w:r>
        <w:t>.</w:t>
      </w:r>
      <w:r w:rsidR="009C30C4">
        <w:t xml:space="preserve"> Multinet’s other augmentation projects were small by comparison.</w:t>
      </w:r>
      <w:r>
        <w:t xml:space="preserve"> The </w:t>
      </w:r>
      <w:r w:rsidR="006D019D">
        <w:t xml:space="preserve">AER approved a component of costs for </w:t>
      </w:r>
      <w:r w:rsidR="0001759C">
        <w:t xml:space="preserve">the Lilydale pipeline </w:t>
      </w:r>
      <w:r w:rsidR="006D019D">
        <w:t xml:space="preserve">project in its review of conforming capex for 2007–11. The AER reviewed the costs </w:t>
      </w:r>
      <w:r>
        <w:t>associated with this project</w:t>
      </w:r>
      <w:r w:rsidR="006D019D">
        <w:t xml:space="preserve"> in 2012 and considered them to be reasonable</w:t>
      </w:r>
      <w:r w:rsidR="009C30C4">
        <w:t>.</w:t>
      </w:r>
    </w:p>
    <w:p w14:paraId="706901D8" w14:textId="77777777" w:rsidR="003147E8" w:rsidRDefault="003147E8" w:rsidP="003147E8">
      <w:pPr>
        <w:pStyle w:val="AERbulletlistfirststyle"/>
      </w:pPr>
      <w:r>
        <w:t>Multinet’s unit rate for residential connections was marginally higher than it had been in 2011, but was not unreasonably high when compared to the average for the 2008–11 period or against the ESC approved forecast benchmark</w:t>
      </w:r>
      <w:r w:rsidR="00972E45">
        <w:t>.</w:t>
      </w:r>
    </w:p>
    <w:p w14:paraId="0778A62C" w14:textId="77777777" w:rsidR="003147E8" w:rsidRDefault="003147E8" w:rsidP="003147E8">
      <w:pPr>
        <w:pStyle w:val="AERbulletlistfirststyle"/>
      </w:pPr>
      <w:r>
        <w:t xml:space="preserve">a small amount of extensions work was carried out in South Gippsland. The unit cost for this work was higher per connection than </w:t>
      </w:r>
      <w:r w:rsidR="006D019D">
        <w:t xml:space="preserve">Multinet’s residential connections unit rate. However, the unit rate for rural connections is expected to be higher, and the AER considers this expenditure to be reasonable. </w:t>
      </w:r>
    </w:p>
    <w:p w14:paraId="3A8B8C46" w14:textId="77777777" w:rsidR="006D010C" w:rsidRDefault="001F30EB" w:rsidP="00B50747">
      <w:pPr>
        <w:pStyle w:val="AERbodytext"/>
      </w:pPr>
      <w:r>
        <w:t xml:space="preserve">The AER considers that expenditure on each of these categories meets the capex criteria set out above. </w:t>
      </w:r>
      <w:r w:rsidR="006203B2">
        <w:t xml:space="preserve">In addition to this, </w:t>
      </w:r>
      <w:r w:rsidR="00501A96">
        <w:t xml:space="preserve">Multinet’s aggregate expenditure on non-IT capex for 2012 was in line with the ESC forecast for the year. </w:t>
      </w:r>
    </w:p>
    <w:p w14:paraId="16912C4E" w14:textId="77777777" w:rsidR="00277752" w:rsidRPr="003648C6" w:rsidRDefault="00277752" w:rsidP="00277752">
      <w:pPr>
        <w:pStyle w:val="Heading1"/>
        <w:rPr>
          <w:rStyle w:val="AERbody"/>
          <w:color w:val="E36C0A"/>
          <w:sz w:val="36"/>
        </w:rPr>
      </w:pPr>
      <w:bookmarkStart w:id="16" w:name="_Toc368044959"/>
      <w:r w:rsidRPr="003648C6">
        <w:rPr>
          <w:rStyle w:val="AERbody"/>
          <w:color w:val="E36C0A"/>
          <w:sz w:val="36"/>
        </w:rPr>
        <w:lastRenderedPageBreak/>
        <w:t>Opening capital base</w:t>
      </w:r>
      <w:bookmarkEnd w:id="16"/>
    </w:p>
    <w:p w14:paraId="5A5D5BC4" w14:textId="77777777" w:rsidR="00E25D70" w:rsidRDefault="00E25D70" w:rsidP="00E25D70">
      <w:pPr>
        <w:pStyle w:val="AERbodytext"/>
        <w:numPr>
          <w:ilvl w:val="0"/>
          <w:numId w:val="0"/>
        </w:numPr>
        <w:tabs>
          <w:tab w:val="left" w:pos="720"/>
        </w:tabs>
      </w:pPr>
      <w:r>
        <w:rPr>
          <w:rStyle w:val="AERbody"/>
        </w:rPr>
        <w:t xml:space="preserve">The AER has calculated the opening capital base for 2013 in accordance with the Tribunal’s orders. </w:t>
      </w:r>
    </w:p>
    <w:p w14:paraId="4A964738" w14:textId="77777777" w:rsidR="00E25D70" w:rsidRDefault="00E25D70" w:rsidP="00E25D70">
      <w:pPr>
        <w:pStyle w:val="Heading2"/>
        <w:numPr>
          <w:ilvl w:val="2"/>
          <w:numId w:val="46"/>
        </w:numPr>
      </w:pPr>
      <w:bookmarkStart w:id="17" w:name="_Toc367787491"/>
      <w:bookmarkStart w:id="18" w:name="_Toc368044960"/>
      <w:r>
        <w:t>Decision</w:t>
      </w:r>
      <w:bookmarkEnd w:id="17"/>
      <w:bookmarkEnd w:id="18"/>
    </w:p>
    <w:p w14:paraId="02370118" w14:textId="77777777" w:rsidR="00E25D70" w:rsidRDefault="00E25D70" w:rsidP="00E25D70">
      <w:pPr>
        <w:pStyle w:val="AERbodytext"/>
        <w:numPr>
          <w:ilvl w:val="0"/>
          <w:numId w:val="48"/>
        </w:numPr>
      </w:pPr>
      <w:r>
        <w:t xml:space="preserve">The AER approves an opening capital base of $1055.0 million ($nominal) as at 1 January 2013. The capital base roll forward for the 2008–12 access arrangement period is set out in </w:t>
      </w:r>
      <w:r>
        <w:fldChar w:fldCharType="begin"/>
      </w:r>
      <w:r>
        <w:instrText xml:space="preserve"> REF  _Ref348446902 \* Lower \h </w:instrText>
      </w:r>
      <w:r>
        <w:fldChar w:fldCharType="separate"/>
      </w:r>
      <w:r>
        <w:t>table 3.</w:t>
      </w:r>
      <w:r>
        <w:rPr>
          <w:noProof/>
        </w:rPr>
        <w:t>1</w:t>
      </w:r>
      <w:r>
        <w:fldChar w:fldCharType="end"/>
      </w:r>
      <w:r>
        <w:t>.</w:t>
      </w:r>
    </w:p>
    <w:p w14:paraId="1331AFB7" w14:textId="77777777" w:rsidR="00E25D70" w:rsidRDefault="00E25D70" w:rsidP="00E25D70">
      <w:pPr>
        <w:pStyle w:val="Caption"/>
      </w:pPr>
      <w:bookmarkStart w:id="19" w:name="_Ref348446902"/>
      <w:r>
        <w:t>Table 3.</w:t>
      </w:r>
      <w:fldSimple w:instr=" SEQ Table \* ARABIC \s 1 ">
        <w:r>
          <w:rPr>
            <w:noProof/>
          </w:rPr>
          <w:t>1</w:t>
        </w:r>
      </w:fldSimple>
      <w:bookmarkEnd w:id="19"/>
      <w:r>
        <w:tab/>
        <w:t>AER's decision on Multinet's capital base roll forward for 2008–12 ($million, real 2012)</w:t>
      </w:r>
    </w:p>
    <w:tbl>
      <w:tblPr>
        <w:tblStyle w:val="AERtable-numbers"/>
        <w:tblW w:w="0" w:type="auto"/>
        <w:tblLook w:val="04A0" w:firstRow="1" w:lastRow="0" w:firstColumn="1" w:lastColumn="0" w:noHBand="0" w:noVBand="1"/>
      </w:tblPr>
      <w:tblGrid>
        <w:gridCol w:w="2324"/>
        <w:gridCol w:w="1133"/>
        <w:gridCol w:w="1133"/>
        <w:gridCol w:w="1133"/>
        <w:gridCol w:w="1133"/>
        <w:gridCol w:w="1133"/>
      </w:tblGrid>
      <w:tr w:rsidR="00E25D70" w14:paraId="135D2840" w14:textId="77777777" w:rsidTr="00E25D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4" w:type="dxa"/>
            <w:tcBorders>
              <w:top w:val="nil"/>
              <w:left w:val="nil"/>
              <w:bottom w:val="nil"/>
              <w:right w:val="nil"/>
            </w:tcBorders>
          </w:tcPr>
          <w:p w14:paraId="742EC996" w14:textId="77777777" w:rsidR="00E25D70" w:rsidRDefault="00E25D70"/>
        </w:tc>
        <w:tc>
          <w:tcPr>
            <w:tcW w:w="1133" w:type="dxa"/>
            <w:tcBorders>
              <w:top w:val="nil"/>
              <w:left w:val="nil"/>
              <w:bottom w:val="nil"/>
              <w:right w:val="nil"/>
            </w:tcBorders>
            <w:hideMark/>
          </w:tcPr>
          <w:p w14:paraId="41F8629F" w14:textId="77777777" w:rsidR="00E25D70" w:rsidRDefault="00E25D70">
            <w:pPr>
              <w:jc w:val="right"/>
              <w:cnfStyle w:val="100000000000" w:firstRow="1" w:lastRow="0" w:firstColumn="0" w:lastColumn="0" w:oddVBand="0" w:evenVBand="0" w:oddHBand="0" w:evenHBand="0" w:firstRowFirstColumn="0" w:firstRowLastColumn="0" w:lastRowFirstColumn="0" w:lastRowLastColumn="0"/>
            </w:pPr>
            <w:r>
              <w:t>2008</w:t>
            </w:r>
          </w:p>
        </w:tc>
        <w:tc>
          <w:tcPr>
            <w:tcW w:w="1133" w:type="dxa"/>
            <w:tcBorders>
              <w:top w:val="nil"/>
              <w:left w:val="nil"/>
              <w:bottom w:val="nil"/>
              <w:right w:val="nil"/>
            </w:tcBorders>
            <w:hideMark/>
          </w:tcPr>
          <w:p w14:paraId="70EC5396" w14:textId="77777777" w:rsidR="00E25D70" w:rsidRDefault="00E25D70">
            <w:pPr>
              <w:jc w:val="right"/>
              <w:cnfStyle w:val="100000000000" w:firstRow="1" w:lastRow="0" w:firstColumn="0" w:lastColumn="0" w:oddVBand="0" w:evenVBand="0" w:oddHBand="0" w:evenHBand="0" w:firstRowFirstColumn="0" w:firstRowLastColumn="0" w:lastRowFirstColumn="0" w:lastRowLastColumn="0"/>
            </w:pPr>
            <w:r>
              <w:t>2009</w:t>
            </w:r>
          </w:p>
        </w:tc>
        <w:tc>
          <w:tcPr>
            <w:tcW w:w="1133" w:type="dxa"/>
            <w:tcBorders>
              <w:top w:val="nil"/>
              <w:left w:val="nil"/>
              <w:bottom w:val="nil"/>
              <w:right w:val="nil"/>
            </w:tcBorders>
            <w:hideMark/>
          </w:tcPr>
          <w:p w14:paraId="354F9BED" w14:textId="77777777" w:rsidR="00E25D70" w:rsidRDefault="00E25D70">
            <w:pPr>
              <w:jc w:val="right"/>
              <w:cnfStyle w:val="100000000000" w:firstRow="1" w:lastRow="0" w:firstColumn="0" w:lastColumn="0" w:oddVBand="0" w:evenVBand="0" w:oddHBand="0" w:evenHBand="0" w:firstRowFirstColumn="0" w:firstRowLastColumn="0" w:lastRowFirstColumn="0" w:lastRowLastColumn="0"/>
            </w:pPr>
            <w:r>
              <w:t>2010</w:t>
            </w:r>
          </w:p>
        </w:tc>
        <w:tc>
          <w:tcPr>
            <w:tcW w:w="1133" w:type="dxa"/>
            <w:tcBorders>
              <w:top w:val="nil"/>
              <w:left w:val="nil"/>
              <w:bottom w:val="nil"/>
              <w:right w:val="nil"/>
            </w:tcBorders>
            <w:hideMark/>
          </w:tcPr>
          <w:p w14:paraId="4A1DA572" w14:textId="77777777" w:rsidR="00E25D70" w:rsidRDefault="00E25D70">
            <w:pPr>
              <w:jc w:val="right"/>
              <w:cnfStyle w:val="100000000000" w:firstRow="1" w:lastRow="0" w:firstColumn="0" w:lastColumn="0" w:oddVBand="0" w:evenVBand="0" w:oddHBand="0" w:evenHBand="0" w:firstRowFirstColumn="0" w:firstRowLastColumn="0" w:lastRowFirstColumn="0" w:lastRowLastColumn="0"/>
            </w:pPr>
            <w:r>
              <w:t>2011</w:t>
            </w:r>
          </w:p>
        </w:tc>
        <w:tc>
          <w:tcPr>
            <w:tcW w:w="1133" w:type="dxa"/>
            <w:tcBorders>
              <w:top w:val="nil"/>
              <w:left w:val="nil"/>
              <w:bottom w:val="nil"/>
              <w:right w:val="nil"/>
            </w:tcBorders>
            <w:hideMark/>
          </w:tcPr>
          <w:p w14:paraId="6E60D1CA" w14:textId="77777777" w:rsidR="00E25D70" w:rsidRDefault="00E25D70">
            <w:pPr>
              <w:jc w:val="right"/>
              <w:cnfStyle w:val="100000000000" w:firstRow="1" w:lastRow="0" w:firstColumn="0" w:lastColumn="0" w:oddVBand="0" w:evenVBand="0" w:oddHBand="0" w:evenHBand="0" w:firstRowFirstColumn="0" w:firstRowLastColumn="0" w:lastRowFirstColumn="0" w:lastRowLastColumn="0"/>
            </w:pPr>
            <w:r>
              <w:t>2012</w:t>
            </w:r>
          </w:p>
        </w:tc>
      </w:tr>
      <w:tr w:rsidR="00E25D70" w14:paraId="08D3267B" w14:textId="77777777" w:rsidTr="00E25D70">
        <w:tc>
          <w:tcPr>
            <w:cnfStyle w:val="001000000000" w:firstRow="0" w:lastRow="0" w:firstColumn="1" w:lastColumn="0" w:oddVBand="0" w:evenVBand="0" w:oddHBand="0" w:evenHBand="0" w:firstRowFirstColumn="0" w:firstRowLastColumn="0" w:lastRowFirstColumn="0" w:lastRowLastColumn="0"/>
            <w:tcW w:w="2324" w:type="dxa"/>
            <w:tcBorders>
              <w:top w:val="nil"/>
              <w:left w:val="nil"/>
              <w:bottom w:val="nil"/>
              <w:right w:val="nil"/>
            </w:tcBorders>
            <w:hideMark/>
          </w:tcPr>
          <w:p w14:paraId="77DDC815" w14:textId="77777777" w:rsidR="00E25D70" w:rsidRDefault="00E25D70">
            <w:r>
              <w:t>Opening capital base</w:t>
            </w:r>
          </w:p>
        </w:tc>
        <w:tc>
          <w:tcPr>
            <w:tcW w:w="1133" w:type="dxa"/>
            <w:tcBorders>
              <w:top w:val="nil"/>
              <w:left w:val="nil"/>
              <w:bottom w:val="nil"/>
              <w:right w:val="nil"/>
            </w:tcBorders>
            <w:hideMark/>
          </w:tcPr>
          <w:p w14:paraId="1251CD9C" w14:textId="77777777" w:rsidR="00E25D70" w:rsidRDefault="00E25D70">
            <w:pPr>
              <w:jc w:val="right"/>
              <w:cnfStyle w:val="000000000000" w:firstRow="0" w:lastRow="0" w:firstColumn="0" w:lastColumn="0" w:oddVBand="0" w:evenVBand="0" w:oddHBand="0" w:evenHBand="0" w:firstRowFirstColumn="0" w:firstRowLastColumn="0" w:lastRowFirstColumn="0" w:lastRowLastColumn="0"/>
            </w:pPr>
            <w:r>
              <w:t>1090.5</w:t>
            </w:r>
          </w:p>
        </w:tc>
        <w:tc>
          <w:tcPr>
            <w:tcW w:w="1133" w:type="dxa"/>
            <w:tcBorders>
              <w:top w:val="nil"/>
              <w:left w:val="nil"/>
              <w:bottom w:val="nil"/>
              <w:right w:val="nil"/>
            </w:tcBorders>
            <w:hideMark/>
          </w:tcPr>
          <w:p w14:paraId="67499670" w14:textId="77777777" w:rsidR="00E25D70" w:rsidRDefault="00E25D70">
            <w:pPr>
              <w:jc w:val="right"/>
              <w:cnfStyle w:val="000000000000" w:firstRow="0" w:lastRow="0" w:firstColumn="0" w:lastColumn="0" w:oddVBand="0" w:evenVBand="0" w:oddHBand="0" w:evenHBand="0" w:firstRowFirstColumn="0" w:firstRowLastColumn="0" w:lastRowFirstColumn="0" w:lastRowLastColumn="0"/>
            </w:pPr>
            <w:r>
              <w:t>1080.2</w:t>
            </w:r>
          </w:p>
        </w:tc>
        <w:tc>
          <w:tcPr>
            <w:tcW w:w="1133" w:type="dxa"/>
            <w:tcBorders>
              <w:top w:val="nil"/>
              <w:left w:val="nil"/>
              <w:bottom w:val="nil"/>
              <w:right w:val="nil"/>
            </w:tcBorders>
            <w:hideMark/>
          </w:tcPr>
          <w:p w14:paraId="0D1D2C72" w14:textId="77777777" w:rsidR="00E25D70" w:rsidRDefault="00E25D70">
            <w:pPr>
              <w:jc w:val="right"/>
              <w:cnfStyle w:val="000000000000" w:firstRow="0" w:lastRow="0" w:firstColumn="0" w:lastColumn="0" w:oddVBand="0" w:evenVBand="0" w:oddHBand="0" w:evenHBand="0" w:firstRowFirstColumn="0" w:firstRowLastColumn="0" w:lastRowFirstColumn="0" w:lastRowLastColumn="0"/>
            </w:pPr>
            <w:r>
              <w:t>1041.6</w:t>
            </w:r>
          </w:p>
        </w:tc>
        <w:tc>
          <w:tcPr>
            <w:tcW w:w="1133" w:type="dxa"/>
            <w:tcBorders>
              <w:top w:val="nil"/>
              <w:left w:val="nil"/>
              <w:bottom w:val="nil"/>
              <w:right w:val="nil"/>
            </w:tcBorders>
            <w:hideMark/>
          </w:tcPr>
          <w:p w14:paraId="333EB827" w14:textId="77777777" w:rsidR="00E25D70" w:rsidRDefault="00E25D70">
            <w:pPr>
              <w:jc w:val="right"/>
              <w:cnfStyle w:val="000000000000" w:firstRow="0" w:lastRow="0" w:firstColumn="0" w:lastColumn="0" w:oddVBand="0" w:evenVBand="0" w:oddHBand="0" w:evenHBand="0" w:firstRowFirstColumn="0" w:firstRowLastColumn="0" w:lastRowFirstColumn="0" w:lastRowLastColumn="0"/>
            </w:pPr>
            <w:r>
              <w:t>1026.4</w:t>
            </w:r>
          </w:p>
        </w:tc>
        <w:tc>
          <w:tcPr>
            <w:tcW w:w="1133" w:type="dxa"/>
            <w:tcBorders>
              <w:top w:val="nil"/>
              <w:left w:val="nil"/>
              <w:bottom w:val="nil"/>
              <w:right w:val="nil"/>
            </w:tcBorders>
            <w:hideMark/>
          </w:tcPr>
          <w:p w14:paraId="082B867D" w14:textId="77777777" w:rsidR="00E25D70" w:rsidRDefault="00E25D70">
            <w:pPr>
              <w:jc w:val="right"/>
              <w:cnfStyle w:val="000000000000" w:firstRow="0" w:lastRow="0" w:firstColumn="0" w:lastColumn="0" w:oddVBand="0" w:evenVBand="0" w:oddHBand="0" w:evenHBand="0" w:firstRowFirstColumn="0" w:firstRowLastColumn="0" w:lastRowFirstColumn="0" w:lastRowLastColumn="0"/>
            </w:pPr>
            <w:r>
              <w:t>1034.2</w:t>
            </w:r>
          </w:p>
        </w:tc>
      </w:tr>
      <w:tr w:rsidR="00E25D70" w14:paraId="0D87CEEE" w14:textId="77777777" w:rsidTr="00E25D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4" w:type="dxa"/>
            <w:tcBorders>
              <w:top w:val="nil"/>
              <w:left w:val="nil"/>
              <w:bottom w:val="nil"/>
              <w:right w:val="nil"/>
            </w:tcBorders>
            <w:hideMark/>
          </w:tcPr>
          <w:p w14:paraId="2777F196" w14:textId="77777777" w:rsidR="00E25D70" w:rsidRDefault="00E25D70">
            <w:r>
              <w:t>Net capex</w:t>
            </w:r>
          </w:p>
        </w:tc>
        <w:tc>
          <w:tcPr>
            <w:tcW w:w="1133" w:type="dxa"/>
            <w:tcBorders>
              <w:top w:val="nil"/>
              <w:left w:val="nil"/>
              <w:bottom w:val="nil"/>
              <w:right w:val="nil"/>
            </w:tcBorders>
            <w:hideMark/>
          </w:tcPr>
          <w:p w14:paraId="3F7BC41C" w14:textId="77777777" w:rsidR="00E25D70" w:rsidRDefault="00E25D70">
            <w:pPr>
              <w:jc w:val="right"/>
              <w:cnfStyle w:val="000000010000" w:firstRow="0" w:lastRow="0" w:firstColumn="0" w:lastColumn="0" w:oddVBand="0" w:evenVBand="0" w:oddHBand="0" w:evenHBand="1" w:firstRowFirstColumn="0" w:firstRowLastColumn="0" w:lastRowFirstColumn="0" w:lastRowLastColumn="0"/>
            </w:pPr>
            <w:r>
              <w:t>38.8</w:t>
            </w:r>
          </w:p>
        </w:tc>
        <w:tc>
          <w:tcPr>
            <w:tcW w:w="1133" w:type="dxa"/>
            <w:tcBorders>
              <w:top w:val="nil"/>
              <w:left w:val="nil"/>
              <w:bottom w:val="nil"/>
              <w:right w:val="nil"/>
            </w:tcBorders>
            <w:hideMark/>
          </w:tcPr>
          <w:p w14:paraId="0A1F3DFE" w14:textId="77777777" w:rsidR="00E25D70" w:rsidRDefault="00E25D70">
            <w:pPr>
              <w:jc w:val="right"/>
              <w:cnfStyle w:val="000000010000" w:firstRow="0" w:lastRow="0" w:firstColumn="0" w:lastColumn="0" w:oddVBand="0" w:evenVBand="0" w:oddHBand="0" w:evenHBand="1" w:firstRowFirstColumn="0" w:firstRowLastColumn="0" w:lastRowFirstColumn="0" w:lastRowLastColumn="0"/>
            </w:pPr>
            <w:r>
              <w:t>13.2</w:t>
            </w:r>
          </w:p>
        </w:tc>
        <w:tc>
          <w:tcPr>
            <w:tcW w:w="1133" w:type="dxa"/>
            <w:tcBorders>
              <w:top w:val="nil"/>
              <w:left w:val="nil"/>
              <w:bottom w:val="nil"/>
              <w:right w:val="nil"/>
            </w:tcBorders>
            <w:hideMark/>
          </w:tcPr>
          <w:p w14:paraId="6B99E840" w14:textId="77777777" w:rsidR="00E25D70" w:rsidRDefault="00E25D70">
            <w:pPr>
              <w:jc w:val="right"/>
              <w:cnfStyle w:val="000000010000" w:firstRow="0" w:lastRow="0" w:firstColumn="0" w:lastColumn="0" w:oddVBand="0" w:evenVBand="0" w:oddHBand="0" w:evenHBand="1" w:firstRowFirstColumn="0" w:firstRowLastColumn="0" w:lastRowFirstColumn="0" w:lastRowLastColumn="0"/>
            </w:pPr>
            <w:r>
              <w:t>38.3</w:t>
            </w:r>
          </w:p>
        </w:tc>
        <w:tc>
          <w:tcPr>
            <w:tcW w:w="1133" w:type="dxa"/>
            <w:tcBorders>
              <w:top w:val="nil"/>
              <w:left w:val="nil"/>
              <w:bottom w:val="nil"/>
              <w:right w:val="nil"/>
            </w:tcBorders>
            <w:hideMark/>
          </w:tcPr>
          <w:p w14:paraId="0A6FDB2F" w14:textId="77777777" w:rsidR="00E25D70" w:rsidRDefault="00E25D70">
            <w:pPr>
              <w:jc w:val="right"/>
              <w:cnfStyle w:val="000000010000" w:firstRow="0" w:lastRow="0" w:firstColumn="0" w:lastColumn="0" w:oddVBand="0" w:evenVBand="0" w:oddHBand="0" w:evenHBand="1" w:firstRowFirstColumn="0" w:firstRowLastColumn="0" w:lastRowFirstColumn="0" w:lastRowLastColumn="0"/>
            </w:pPr>
            <w:r>
              <w:t>62.3</w:t>
            </w:r>
          </w:p>
        </w:tc>
        <w:tc>
          <w:tcPr>
            <w:tcW w:w="1133" w:type="dxa"/>
            <w:tcBorders>
              <w:top w:val="nil"/>
              <w:left w:val="nil"/>
              <w:bottom w:val="nil"/>
              <w:right w:val="nil"/>
            </w:tcBorders>
            <w:hideMark/>
          </w:tcPr>
          <w:p w14:paraId="00385E57" w14:textId="77777777" w:rsidR="00E25D70" w:rsidRDefault="00E25D70">
            <w:pPr>
              <w:jc w:val="right"/>
              <w:cnfStyle w:val="000000010000" w:firstRow="0" w:lastRow="0" w:firstColumn="0" w:lastColumn="0" w:oddVBand="0" w:evenVBand="0" w:oddHBand="0" w:evenHBand="1" w:firstRowFirstColumn="0" w:firstRowLastColumn="0" w:lastRowFirstColumn="0" w:lastRowLastColumn="0"/>
            </w:pPr>
            <w:r>
              <w:t>75.7</w:t>
            </w:r>
          </w:p>
        </w:tc>
      </w:tr>
      <w:tr w:rsidR="00E25D70" w14:paraId="17B7D1DC" w14:textId="77777777" w:rsidTr="00E25D70">
        <w:tc>
          <w:tcPr>
            <w:cnfStyle w:val="001000000000" w:firstRow="0" w:lastRow="0" w:firstColumn="1" w:lastColumn="0" w:oddVBand="0" w:evenVBand="0" w:oddHBand="0" w:evenHBand="0" w:firstRowFirstColumn="0" w:firstRowLastColumn="0" w:lastRowFirstColumn="0" w:lastRowLastColumn="0"/>
            <w:tcW w:w="2324" w:type="dxa"/>
            <w:tcBorders>
              <w:top w:val="nil"/>
              <w:left w:val="nil"/>
              <w:bottom w:val="nil"/>
              <w:right w:val="nil"/>
            </w:tcBorders>
            <w:hideMark/>
          </w:tcPr>
          <w:p w14:paraId="2E1A3118" w14:textId="77777777" w:rsidR="00E25D70" w:rsidRDefault="00E25D70">
            <w:r>
              <w:t>Less: regulatory depreciation</w:t>
            </w:r>
          </w:p>
        </w:tc>
        <w:tc>
          <w:tcPr>
            <w:tcW w:w="1133" w:type="dxa"/>
            <w:tcBorders>
              <w:top w:val="nil"/>
              <w:left w:val="nil"/>
              <w:bottom w:val="nil"/>
              <w:right w:val="nil"/>
            </w:tcBorders>
            <w:hideMark/>
          </w:tcPr>
          <w:p w14:paraId="3DDA2324" w14:textId="77777777" w:rsidR="00E25D70" w:rsidRDefault="00E25D70">
            <w:pPr>
              <w:jc w:val="right"/>
              <w:cnfStyle w:val="000000000000" w:firstRow="0" w:lastRow="0" w:firstColumn="0" w:lastColumn="0" w:oddVBand="0" w:evenVBand="0" w:oddHBand="0" w:evenHBand="0" w:firstRowFirstColumn="0" w:firstRowLastColumn="0" w:lastRowFirstColumn="0" w:lastRowLastColumn="0"/>
            </w:pPr>
            <w:r>
              <w:t>49.1</w:t>
            </w:r>
          </w:p>
        </w:tc>
        <w:tc>
          <w:tcPr>
            <w:tcW w:w="1133" w:type="dxa"/>
            <w:tcBorders>
              <w:top w:val="nil"/>
              <w:left w:val="nil"/>
              <w:bottom w:val="nil"/>
              <w:right w:val="nil"/>
            </w:tcBorders>
            <w:hideMark/>
          </w:tcPr>
          <w:p w14:paraId="7482FBAF" w14:textId="77777777" w:rsidR="00E25D70" w:rsidRDefault="00E25D70">
            <w:pPr>
              <w:jc w:val="right"/>
              <w:cnfStyle w:val="000000000000" w:firstRow="0" w:lastRow="0" w:firstColumn="0" w:lastColumn="0" w:oddVBand="0" w:evenVBand="0" w:oddHBand="0" w:evenHBand="0" w:firstRowFirstColumn="0" w:firstRowLastColumn="0" w:lastRowFirstColumn="0" w:lastRowLastColumn="0"/>
            </w:pPr>
            <w:r>
              <w:t>51.8</w:t>
            </w:r>
          </w:p>
        </w:tc>
        <w:tc>
          <w:tcPr>
            <w:tcW w:w="1133" w:type="dxa"/>
            <w:tcBorders>
              <w:top w:val="nil"/>
              <w:left w:val="nil"/>
              <w:bottom w:val="nil"/>
              <w:right w:val="nil"/>
            </w:tcBorders>
            <w:hideMark/>
          </w:tcPr>
          <w:p w14:paraId="5FFE6015" w14:textId="77777777" w:rsidR="00E25D70" w:rsidRDefault="00E25D70">
            <w:pPr>
              <w:jc w:val="right"/>
              <w:cnfStyle w:val="000000000000" w:firstRow="0" w:lastRow="0" w:firstColumn="0" w:lastColumn="0" w:oddVBand="0" w:evenVBand="0" w:oddHBand="0" w:evenHBand="0" w:firstRowFirstColumn="0" w:firstRowLastColumn="0" w:lastRowFirstColumn="0" w:lastRowLastColumn="0"/>
            </w:pPr>
            <w:r>
              <w:t>53.6</w:t>
            </w:r>
          </w:p>
        </w:tc>
        <w:tc>
          <w:tcPr>
            <w:tcW w:w="1133" w:type="dxa"/>
            <w:tcBorders>
              <w:top w:val="nil"/>
              <w:left w:val="nil"/>
              <w:bottom w:val="nil"/>
              <w:right w:val="nil"/>
            </w:tcBorders>
            <w:hideMark/>
          </w:tcPr>
          <w:p w14:paraId="3CB8FB0B" w14:textId="77777777" w:rsidR="00E25D70" w:rsidRDefault="00E25D70">
            <w:pPr>
              <w:jc w:val="right"/>
              <w:cnfStyle w:val="000000000000" w:firstRow="0" w:lastRow="0" w:firstColumn="0" w:lastColumn="0" w:oddVBand="0" w:evenVBand="0" w:oddHBand="0" w:evenHBand="0" w:firstRowFirstColumn="0" w:firstRowLastColumn="0" w:lastRowFirstColumn="0" w:lastRowLastColumn="0"/>
            </w:pPr>
            <w:r>
              <w:t>54.3</w:t>
            </w:r>
          </w:p>
        </w:tc>
        <w:tc>
          <w:tcPr>
            <w:tcW w:w="1133" w:type="dxa"/>
            <w:tcBorders>
              <w:top w:val="nil"/>
              <w:left w:val="nil"/>
              <w:bottom w:val="nil"/>
              <w:right w:val="nil"/>
            </w:tcBorders>
            <w:hideMark/>
          </w:tcPr>
          <w:p w14:paraId="1F83A0AD" w14:textId="77777777" w:rsidR="00E25D70" w:rsidRDefault="00E25D70">
            <w:pPr>
              <w:jc w:val="right"/>
              <w:cnfStyle w:val="000000000000" w:firstRow="0" w:lastRow="0" w:firstColumn="0" w:lastColumn="0" w:oddVBand="0" w:evenVBand="0" w:oddHBand="0" w:evenHBand="0" w:firstRowFirstColumn="0" w:firstRowLastColumn="0" w:lastRowFirstColumn="0" w:lastRowLastColumn="0"/>
            </w:pPr>
            <w:r>
              <w:t>54.9</w:t>
            </w:r>
          </w:p>
        </w:tc>
      </w:tr>
      <w:tr w:rsidR="00E25D70" w14:paraId="0BF3BD9C" w14:textId="77777777" w:rsidTr="00E25D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4" w:type="dxa"/>
            <w:tcBorders>
              <w:top w:val="nil"/>
              <w:left w:val="nil"/>
              <w:bottom w:val="single" w:sz="4" w:space="0" w:color="365F91"/>
              <w:right w:val="nil"/>
            </w:tcBorders>
            <w:hideMark/>
          </w:tcPr>
          <w:p w14:paraId="01FAA391" w14:textId="77777777" w:rsidR="00E25D70" w:rsidRDefault="00E25D70">
            <w:r>
              <w:t>Closing capital base</w:t>
            </w:r>
          </w:p>
        </w:tc>
        <w:tc>
          <w:tcPr>
            <w:tcW w:w="1133" w:type="dxa"/>
            <w:tcBorders>
              <w:top w:val="nil"/>
              <w:left w:val="nil"/>
              <w:bottom w:val="single" w:sz="4" w:space="0" w:color="365F91"/>
              <w:right w:val="nil"/>
            </w:tcBorders>
            <w:hideMark/>
          </w:tcPr>
          <w:p w14:paraId="07619F76" w14:textId="77777777" w:rsidR="00E25D70" w:rsidRDefault="00E25D70">
            <w:pPr>
              <w:jc w:val="right"/>
              <w:cnfStyle w:val="000000010000" w:firstRow="0" w:lastRow="0" w:firstColumn="0" w:lastColumn="0" w:oddVBand="0" w:evenVBand="0" w:oddHBand="0" w:evenHBand="1" w:firstRowFirstColumn="0" w:firstRowLastColumn="0" w:lastRowFirstColumn="0" w:lastRowLastColumn="0"/>
            </w:pPr>
            <w:r>
              <w:t>1080.2</w:t>
            </w:r>
          </w:p>
        </w:tc>
        <w:tc>
          <w:tcPr>
            <w:tcW w:w="1133" w:type="dxa"/>
            <w:tcBorders>
              <w:top w:val="nil"/>
              <w:left w:val="nil"/>
              <w:bottom w:val="single" w:sz="4" w:space="0" w:color="365F91"/>
              <w:right w:val="nil"/>
            </w:tcBorders>
            <w:hideMark/>
          </w:tcPr>
          <w:p w14:paraId="472F24AC" w14:textId="77777777" w:rsidR="00E25D70" w:rsidRDefault="00E25D70">
            <w:pPr>
              <w:jc w:val="right"/>
              <w:cnfStyle w:val="000000010000" w:firstRow="0" w:lastRow="0" w:firstColumn="0" w:lastColumn="0" w:oddVBand="0" w:evenVBand="0" w:oddHBand="0" w:evenHBand="1" w:firstRowFirstColumn="0" w:firstRowLastColumn="0" w:lastRowFirstColumn="0" w:lastRowLastColumn="0"/>
            </w:pPr>
            <w:r>
              <w:t>1041.6</w:t>
            </w:r>
          </w:p>
        </w:tc>
        <w:tc>
          <w:tcPr>
            <w:tcW w:w="1133" w:type="dxa"/>
            <w:tcBorders>
              <w:top w:val="nil"/>
              <w:left w:val="nil"/>
              <w:bottom w:val="single" w:sz="4" w:space="0" w:color="365F91"/>
              <w:right w:val="nil"/>
            </w:tcBorders>
            <w:hideMark/>
          </w:tcPr>
          <w:p w14:paraId="769EAACC" w14:textId="77777777" w:rsidR="00E25D70" w:rsidRDefault="00E25D70">
            <w:pPr>
              <w:jc w:val="right"/>
              <w:cnfStyle w:val="000000010000" w:firstRow="0" w:lastRow="0" w:firstColumn="0" w:lastColumn="0" w:oddVBand="0" w:evenVBand="0" w:oddHBand="0" w:evenHBand="1" w:firstRowFirstColumn="0" w:firstRowLastColumn="0" w:lastRowFirstColumn="0" w:lastRowLastColumn="0"/>
            </w:pPr>
            <w:r>
              <w:t>1026.4</w:t>
            </w:r>
          </w:p>
        </w:tc>
        <w:tc>
          <w:tcPr>
            <w:tcW w:w="1133" w:type="dxa"/>
            <w:tcBorders>
              <w:top w:val="nil"/>
              <w:left w:val="nil"/>
              <w:bottom w:val="single" w:sz="4" w:space="0" w:color="365F91"/>
              <w:right w:val="nil"/>
            </w:tcBorders>
            <w:hideMark/>
          </w:tcPr>
          <w:p w14:paraId="400B3A3D" w14:textId="77777777" w:rsidR="00E25D70" w:rsidRDefault="00E25D70">
            <w:pPr>
              <w:jc w:val="right"/>
              <w:cnfStyle w:val="000000010000" w:firstRow="0" w:lastRow="0" w:firstColumn="0" w:lastColumn="0" w:oddVBand="0" w:evenVBand="0" w:oddHBand="0" w:evenHBand="1" w:firstRowFirstColumn="0" w:firstRowLastColumn="0" w:lastRowFirstColumn="0" w:lastRowLastColumn="0"/>
            </w:pPr>
            <w:r>
              <w:t>1034.2</w:t>
            </w:r>
          </w:p>
        </w:tc>
        <w:tc>
          <w:tcPr>
            <w:tcW w:w="1133" w:type="dxa"/>
            <w:tcBorders>
              <w:top w:val="nil"/>
              <w:left w:val="nil"/>
              <w:bottom w:val="single" w:sz="4" w:space="0" w:color="365F91"/>
              <w:right w:val="nil"/>
            </w:tcBorders>
            <w:hideMark/>
          </w:tcPr>
          <w:p w14:paraId="09C5FFD1" w14:textId="77777777" w:rsidR="00E25D70" w:rsidRDefault="00E25D70">
            <w:pPr>
              <w:jc w:val="right"/>
              <w:cnfStyle w:val="000000010000" w:firstRow="0" w:lastRow="0" w:firstColumn="0" w:lastColumn="0" w:oddVBand="0" w:evenVBand="0" w:oddHBand="0" w:evenHBand="1" w:firstRowFirstColumn="0" w:firstRowLastColumn="0" w:lastRowFirstColumn="0" w:lastRowLastColumn="0"/>
            </w:pPr>
            <w:r>
              <w:t>1055.0</w:t>
            </w:r>
          </w:p>
        </w:tc>
      </w:tr>
    </w:tbl>
    <w:p w14:paraId="20BDC47E" w14:textId="77777777" w:rsidR="00E25D70" w:rsidRDefault="00E25D70" w:rsidP="00E25D70">
      <w:pPr>
        <w:pStyle w:val="AERtablesource"/>
        <w:ind w:left="0" w:firstLine="0"/>
      </w:pPr>
      <w:r>
        <w:t>Source:</w:t>
      </w:r>
      <w:r>
        <w:tab/>
        <w:t>AER analysis.</w:t>
      </w:r>
    </w:p>
    <w:p w14:paraId="2B27DFCE" w14:textId="77777777" w:rsidR="00E25D70" w:rsidRDefault="00E25D70" w:rsidP="00E25D70">
      <w:pPr>
        <w:pStyle w:val="AERtablesource"/>
      </w:pPr>
      <w:r>
        <w:t xml:space="preserve">Note: </w:t>
      </w:r>
      <w:r>
        <w:tab/>
        <w:t>Totals may not add due to rounding.</w:t>
      </w:r>
    </w:p>
    <w:p w14:paraId="33C1A6FF" w14:textId="77777777" w:rsidR="00E25D70" w:rsidRDefault="00E25D70" w:rsidP="00E25D70">
      <w:pPr>
        <w:pStyle w:val="AERbodytext"/>
        <w:numPr>
          <w:ilvl w:val="0"/>
          <w:numId w:val="0"/>
        </w:numPr>
        <w:tabs>
          <w:tab w:val="left" w:pos="720"/>
        </w:tabs>
      </w:pPr>
      <w:r>
        <w:t>The AER’s adjustment to increase the opening capital base also results in an increase to the projected capital base for the 2013–17 access arrangement period. The AER has determined a projected closing capital base of $1169.6 million ($nominal) as at 31 December 2017 and this is set out in table 3.2.</w:t>
      </w:r>
    </w:p>
    <w:p w14:paraId="27305137" w14:textId="77777777" w:rsidR="00E25D70" w:rsidRDefault="00E25D70" w:rsidP="00E25D70">
      <w:pPr>
        <w:pStyle w:val="Caption"/>
      </w:pPr>
      <w:r>
        <w:t>Table 3.2</w:t>
      </w:r>
      <w:r>
        <w:tab/>
        <w:t>AER's decision on Multinet's projected capital base roll forward for 2013–17 access arrangement period ($million, nominal)</w:t>
      </w:r>
    </w:p>
    <w:tbl>
      <w:tblPr>
        <w:tblStyle w:val="AERtable-numbers"/>
        <w:tblW w:w="0" w:type="auto"/>
        <w:tblLook w:val="04A0" w:firstRow="1" w:lastRow="0" w:firstColumn="1" w:lastColumn="0" w:noHBand="0" w:noVBand="1"/>
      </w:tblPr>
      <w:tblGrid>
        <w:gridCol w:w="2324"/>
        <w:gridCol w:w="1133"/>
        <w:gridCol w:w="1133"/>
        <w:gridCol w:w="1133"/>
        <w:gridCol w:w="1133"/>
        <w:gridCol w:w="1133"/>
      </w:tblGrid>
      <w:tr w:rsidR="00E25D70" w14:paraId="628B13F7" w14:textId="77777777" w:rsidTr="00E25D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4" w:type="dxa"/>
            <w:tcBorders>
              <w:top w:val="nil"/>
              <w:left w:val="nil"/>
              <w:bottom w:val="nil"/>
              <w:right w:val="nil"/>
            </w:tcBorders>
          </w:tcPr>
          <w:p w14:paraId="03A876E3" w14:textId="77777777" w:rsidR="00E25D70" w:rsidRDefault="00E25D70"/>
        </w:tc>
        <w:tc>
          <w:tcPr>
            <w:tcW w:w="1133" w:type="dxa"/>
            <w:tcBorders>
              <w:top w:val="nil"/>
              <w:left w:val="nil"/>
              <w:bottom w:val="nil"/>
              <w:right w:val="nil"/>
            </w:tcBorders>
            <w:hideMark/>
          </w:tcPr>
          <w:p w14:paraId="70E59603" w14:textId="77777777" w:rsidR="00E25D70" w:rsidRDefault="00E25D70">
            <w:pPr>
              <w:jc w:val="right"/>
              <w:cnfStyle w:val="100000000000" w:firstRow="1" w:lastRow="0" w:firstColumn="0" w:lastColumn="0" w:oddVBand="0" w:evenVBand="0" w:oddHBand="0" w:evenHBand="0" w:firstRowFirstColumn="0" w:firstRowLastColumn="0" w:lastRowFirstColumn="0" w:lastRowLastColumn="0"/>
            </w:pPr>
            <w:r>
              <w:t>2013</w:t>
            </w:r>
          </w:p>
        </w:tc>
        <w:tc>
          <w:tcPr>
            <w:tcW w:w="1133" w:type="dxa"/>
            <w:tcBorders>
              <w:top w:val="nil"/>
              <w:left w:val="nil"/>
              <w:bottom w:val="nil"/>
              <w:right w:val="nil"/>
            </w:tcBorders>
            <w:hideMark/>
          </w:tcPr>
          <w:p w14:paraId="32B8F018" w14:textId="77777777" w:rsidR="00E25D70" w:rsidRDefault="00E25D70">
            <w:pPr>
              <w:jc w:val="right"/>
              <w:cnfStyle w:val="100000000000" w:firstRow="1" w:lastRow="0" w:firstColumn="0" w:lastColumn="0" w:oddVBand="0" w:evenVBand="0" w:oddHBand="0" w:evenHBand="0" w:firstRowFirstColumn="0" w:firstRowLastColumn="0" w:lastRowFirstColumn="0" w:lastRowLastColumn="0"/>
            </w:pPr>
            <w:r>
              <w:t>2014</w:t>
            </w:r>
          </w:p>
        </w:tc>
        <w:tc>
          <w:tcPr>
            <w:tcW w:w="1133" w:type="dxa"/>
            <w:tcBorders>
              <w:top w:val="nil"/>
              <w:left w:val="nil"/>
              <w:bottom w:val="nil"/>
              <w:right w:val="nil"/>
            </w:tcBorders>
            <w:hideMark/>
          </w:tcPr>
          <w:p w14:paraId="7BDF9E0F" w14:textId="77777777" w:rsidR="00E25D70" w:rsidRDefault="00E25D70">
            <w:pPr>
              <w:jc w:val="right"/>
              <w:cnfStyle w:val="100000000000" w:firstRow="1" w:lastRow="0" w:firstColumn="0" w:lastColumn="0" w:oddVBand="0" w:evenVBand="0" w:oddHBand="0" w:evenHBand="0" w:firstRowFirstColumn="0" w:firstRowLastColumn="0" w:lastRowFirstColumn="0" w:lastRowLastColumn="0"/>
            </w:pPr>
            <w:r>
              <w:t>2015</w:t>
            </w:r>
          </w:p>
        </w:tc>
        <w:tc>
          <w:tcPr>
            <w:tcW w:w="1133" w:type="dxa"/>
            <w:tcBorders>
              <w:top w:val="nil"/>
              <w:left w:val="nil"/>
              <w:bottom w:val="nil"/>
              <w:right w:val="nil"/>
            </w:tcBorders>
            <w:hideMark/>
          </w:tcPr>
          <w:p w14:paraId="4CBFA161" w14:textId="77777777" w:rsidR="00E25D70" w:rsidRDefault="00E25D70">
            <w:pPr>
              <w:jc w:val="right"/>
              <w:cnfStyle w:val="100000000000" w:firstRow="1" w:lastRow="0" w:firstColumn="0" w:lastColumn="0" w:oddVBand="0" w:evenVBand="0" w:oddHBand="0" w:evenHBand="0" w:firstRowFirstColumn="0" w:firstRowLastColumn="0" w:lastRowFirstColumn="0" w:lastRowLastColumn="0"/>
            </w:pPr>
            <w:r>
              <w:t>2016</w:t>
            </w:r>
          </w:p>
        </w:tc>
        <w:tc>
          <w:tcPr>
            <w:tcW w:w="1133" w:type="dxa"/>
            <w:tcBorders>
              <w:top w:val="nil"/>
              <w:left w:val="nil"/>
              <w:bottom w:val="nil"/>
              <w:right w:val="nil"/>
            </w:tcBorders>
            <w:hideMark/>
          </w:tcPr>
          <w:p w14:paraId="6E9EF0DC" w14:textId="77777777" w:rsidR="00E25D70" w:rsidRDefault="00E25D70">
            <w:pPr>
              <w:jc w:val="right"/>
              <w:cnfStyle w:val="100000000000" w:firstRow="1" w:lastRow="0" w:firstColumn="0" w:lastColumn="0" w:oddVBand="0" w:evenVBand="0" w:oddHBand="0" w:evenHBand="0" w:firstRowFirstColumn="0" w:firstRowLastColumn="0" w:lastRowFirstColumn="0" w:lastRowLastColumn="0"/>
            </w:pPr>
            <w:r>
              <w:t>2017</w:t>
            </w:r>
          </w:p>
        </w:tc>
      </w:tr>
      <w:tr w:rsidR="00E25D70" w14:paraId="276D2407" w14:textId="77777777" w:rsidTr="00E25D70">
        <w:tc>
          <w:tcPr>
            <w:cnfStyle w:val="001000000000" w:firstRow="0" w:lastRow="0" w:firstColumn="1" w:lastColumn="0" w:oddVBand="0" w:evenVBand="0" w:oddHBand="0" w:evenHBand="0" w:firstRowFirstColumn="0" w:firstRowLastColumn="0" w:lastRowFirstColumn="0" w:lastRowLastColumn="0"/>
            <w:tcW w:w="2324" w:type="dxa"/>
            <w:tcBorders>
              <w:top w:val="nil"/>
              <w:left w:val="nil"/>
              <w:bottom w:val="nil"/>
              <w:right w:val="nil"/>
            </w:tcBorders>
            <w:hideMark/>
          </w:tcPr>
          <w:p w14:paraId="0C89E83D" w14:textId="77777777" w:rsidR="00E25D70" w:rsidRDefault="00E25D70">
            <w:r>
              <w:t>Opening capital base</w:t>
            </w:r>
          </w:p>
        </w:tc>
        <w:tc>
          <w:tcPr>
            <w:tcW w:w="1133" w:type="dxa"/>
            <w:tcBorders>
              <w:top w:val="nil"/>
              <w:left w:val="nil"/>
              <w:bottom w:val="nil"/>
              <w:right w:val="nil"/>
            </w:tcBorders>
            <w:hideMark/>
          </w:tcPr>
          <w:p w14:paraId="219F2927" w14:textId="77777777" w:rsidR="00E25D70" w:rsidRDefault="00E25D70">
            <w:pPr>
              <w:jc w:val="right"/>
              <w:cnfStyle w:val="000000000000" w:firstRow="0" w:lastRow="0" w:firstColumn="0" w:lastColumn="0" w:oddVBand="0" w:evenVBand="0" w:oddHBand="0" w:evenHBand="0" w:firstRowFirstColumn="0" w:firstRowLastColumn="0" w:lastRowFirstColumn="0" w:lastRowLastColumn="0"/>
            </w:pPr>
            <w:r>
              <w:t>1055.0</w:t>
            </w:r>
          </w:p>
        </w:tc>
        <w:tc>
          <w:tcPr>
            <w:tcW w:w="1133" w:type="dxa"/>
            <w:tcBorders>
              <w:top w:val="nil"/>
              <w:left w:val="nil"/>
              <w:bottom w:val="nil"/>
              <w:right w:val="nil"/>
            </w:tcBorders>
            <w:hideMark/>
          </w:tcPr>
          <w:p w14:paraId="71FA9176" w14:textId="77777777" w:rsidR="00E25D70" w:rsidRDefault="00E25D70">
            <w:pPr>
              <w:jc w:val="right"/>
              <w:cnfStyle w:val="000000000000" w:firstRow="0" w:lastRow="0" w:firstColumn="0" w:lastColumn="0" w:oddVBand="0" w:evenVBand="0" w:oddHBand="0" w:evenHBand="0" w:firstRowFirstColumn="0" w:firstRowLastColumn="0" w:lastRowFirstColumn="0" w:lastRowLastColumn="0"/>
            </w:pPr>
            <w:r>
              <w:t>1109.7</w:t>
            </w:r>
          </w:p>
        </w:tc>
        <w:tc>
          <w:tcPr>
            <w:tcW w:w="1133" w:type="dxa"/>
            <w:tcBorders>
              <w:top w:val="nil"/>
              <w:left w:val="nil"/>
              <w:bottom w:val="nil"/>
              <w:right w:val="nil"/>
            </w:tcBorders>
            <w:hideMark/>
          </w:tcPr>
          <w:p w14:paraId="34AB42F8" w14:textId="77777777" w:rsidR="00E25D70" w:rsidRDefault="00E25D70">
            <w:pPr>
              <w:jc w:val="right"/>
              <w:cnfStyle w:val="000000000000" w:firstRow="0" w:lastRow="0" w:firstColumn="0" w:lastColumn="0" w:oddVBand="0" w:evenVBand="0" w:oddHBand="0" w:evenHBand="0" w:firstRowFirstColumn="0" w:firstRowLastColumn="0" w:lastRowFirstColumn="0" w:lastRowLastColumn="0"/>
            </w:pPr>
            <w:r>
              <w:t>1121.9</w:t>
            </w:r>
          </w:p>
        </w:tc>
        <w:tc>
          <w:tcPr>
            <w:tcW w:w="1133" w:type="dxa"/>
            <w:tcBorders>
              <w:top w:val="nil"/>
              <w:left w:val="nil"/>
              <w:bottom w:val="nil"/>
              <w:right w:val="nil"/>
            </w:tcBorders>
            <w:hideMark/>
          </w:tcPr>
          <w:p w14:paraId="2934FB89" w14:textId="77777777" w:rsidR="00E25D70" w:rsidRDefault="00E25D70">
            <w:pPr>
              <w:jc w:val="right"/>
              <w:cnfStyle w:val="000000000000" w:firstRow="0" w:lastRow="0" w:firstColumn="0" w:lastColumn="0" w:oddVBand="0" w:evenVBand="0" w:oddHBand="0" w:evenHBand="0" w:firstRowFirstColumn="0" w:firstRowLastColumn="0" w:lastRowFirstColumn="0" w:lastRowLastColumn="0"/>
            </w:pPr>
            <w:r>
              <w:t>1139.6</w:t>
            </w:r>
          </w:p>
        </w:tc>
        <w:tc>
          <w:tcPr>
            <w:tcW w:w="1133" w:type="dxa"/>
            <w:tcBorders>
              <w:top w:val="nil"/>
              <w:left w:val="nil"/>
              <w:bottom w:val="nil"/>
              <w:right w:val="nil"/>
            </w:tcBorders>
            <w:hideMark/>
          </w:tcPr>
          <w:p w14:paraId="70A28FA2" w14:textId="77777777" w:rsidR="00E25D70" w:rsidRDefault="00E25D70">
            <w:pPr>
              <w:jc w:val="right"/>
              <w:cnfStyle w:val="000000000000" w:firstRow="0" w:lastRow="0" w:firstColumn="0" w:lastColumn="0" w:oddVBand="0" w:evenVBand="0" w:oddHBand="0" w:evenHBand="0" w:firstRowFirstColumn="0" w:firstRowLastColumn="0" w:lastRowFirstColumn="0" w:lastRowLastColumn="0"/>
            </w:pPr>
            <w:r>
              <w:t>1171.5</w:t>
            </w:r>
          </w:p>
        </w:tc>
      </w:tr>
      <w:tr w:rsidR="00E25D70" w14:paraId="56E46B51" w14:textId="77777777" w:rsidTr="00E25D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4" w:type="dxa"/>
            <w:tcBorders>
              <w:top w:val="nil"/>
              <w:left w:val="nil"/>
              <w:bottom w:val="nil"/>
              <w:right w:val="nil"/>
            </w:tcBorders>
            <w:hideMark/>
          </w:tcPr>
          <w:p w14:paraId="210BE2DB" w14:textId="77777777" w:rsidR="00E25D70" w:rsidRDefault="00E25D70">
            <w:r>
              <w:t>Net capex</w:t>
            </w:r>
          </w:p>
        </w:tc>
        <w:tc>
          <w:tcPr>
            <w:tcW w:w="1133" w:type="dxa"/>
            <w:tcBorders>
              <w:top w:val="nil"/>
              <w:left w:val="nil"/>
              <w:bottom w:val="nil"/>
              <w:right w:val="nil"/>
            </w:tcBorders>
            <w:hideMark/>
          </w:tcPr>
          <w:p w14:paraId="600ABBE1" w14:textId="77777777" w:rsidR="00E25D70" w:rsidRDefault="00E25D70">
            <w:pPr>
              <w:jc w:val="right"/>
              <w:cnfStyle w:val="000000010000" w:firstRow="0" w:lastRow="0" w:firstColumn="0" w:lastColumn="0" w:oddVBand="0" w:evenVBand="0" w:oddHBand="0" w:evenHBand="1" w:firstRowFirstColumn="0" w:firstRowLastColumn="0" w:lastRowFirstColumn="0" w:lastRowLastColumn="0"/>
            </w:pPr>
            <w:r>
              <w:t>74.5</w:t>
            </w:r>
          </w:p>
        </w:tc>
        <w:tc>
          <w:tcPr>
            <w:tcW w:w="1133" w:type="dxa"/>
            <w:tcBorders>
              <w:top w:val="nil"/>
              <w:left w:val="nil"/>
              <w:bottom w:val="nil"/>
              <w:right w:val="nil"/>
            </w:tcBorders>
            <w:hideMark/>
          </w:tcPr>
          <w:p w14:paraId="16D69C27" w14:textId="77777777" w:rsidR="00E25D70" w:rsidRDefault="00E25D70">
            <w:pPr>
              <w:jc w:val="right"/>
              <w:cnfStyle w:val="000000010000" w:firstRow="0" w:lastRow="0" w:firstColumn="0" w:lastColumn="0" w:oddVBand="0" w:evenVBand="0" w:oddHBand="0" w:evenHBand="1" w:firstRowFirstColumn="0" w:firstRowLastColumn="0" w:lastRowFirstColumn="0" w:lastRowLastColumn="0"/>
            </w:pPr>
            <w:r>
              <w:t>40.2</w:t>
            </w:r>
          </w:p>
        </w:tc>
        <w:tc>
          <w:tcPr>
            <w:tcW w:w="1133" w:type="dxa"/>
            <w:tcBorders>
              <w:top w:val="nil"/>
              <w:left w:val="nil"/>
              <w:bottom w:val="nil"/>
              <w:right w:val="nil"/>
            </w:tcBorders>
            <w:hideMark/>
          </w:tcPr>
          <w:p w14:paraId="42314FD9" w14:textId="77777777" w:rsidR="00E25D70" w:rsidRDefault="00E25D70">
            <w:pPr>
              <w:jc w:val="right"/>
              <w:cnfStyle w:val="000000010000" w:firstRow="0" w:lastRow="0" w:firstColumn="0" w:lastColumn="0" w:oddVBand="0" w:evenVBand="0" w:oddHBand="0" w:evenHBand="1" w:firstRowFirstColumn="0" w:firstRowLastColumn="0" w:lastRowFirstColumn="0" w:lastRowLastColumn="0"/>
            </w:pPr>
            <w:r>
              <w:t>48.9</w:t>
            </w:r>
          </w:p>
        </w:tc>
        <w:tc>
          <w:tcPr>
            <w:tcW w:w="1133" w:type="dxa"/>
            <w:tcBorders>
              <w:top w:val="nil"/>
              <w:left w:val="nil"/>
              <w:bottom w:val="nil"/>
              <w:right w:val="nil"/>
            </w:tcBorders>
            <w:hideMark/>
          </w:tcPr>
          <w:p w14:paraId="78D0FCD6" w14:textId="77777777" w:rsidR="00E25D70" w:rsidRDefault="00E25D70">
            <w:pPr>
              <w:jc w:val="right"/>
              <w:cnfStyle w:val="000000010000" w:firstRow="0" w:lastRow="0" w:firstColumn="0" w:lastColumn="0" w:oddVBand="0" w:evenVBand="0" w:oddHBand="0" w:evenHBand="1" w:firstRowFirstColumn="0" w:firstRowLastColumn="0" w:lastRowFirstColumn="0" w:lastRowLastColumn="0"/>
            </w:pPr>
            <w:r>
              <w:t>66.1</w:t>
            </w:r>
          </w:p>
        </w:tc>
        <w:tc>
          <w:tcPr>
            <w:tcW w:w="1133" w:type="dxa"/>
            <w:tcBorders>
              <w:top w:val="nil"/>
              <w:left w:val="nil"/>
              <w:bottom w:val="nil"/>
              <w:right w:val="nil"/>
            </w:tcBorders>
            <w:hideMark/>
          </w:tcPr>
          <w:p w14:paraId="0480A91D" w14:textId="77777777" w:rsidR="00E25D70" w:rsidRDefault="00E25D70">
            <w:pPr>
              <w:jc w:val="right"/>
              <w:cnfStyle w:val="000000010000" w:firstRow="0" w:lastRow="0" w:firstColumn="0" w:lastColumn="0" w:oddVBand="0" w:evenVBand="0" w:oddHBand="0" w:evenHBand="1" w:firstRowFirstColumn="0" w:firstRowLastColumn="0" w:lastRowFirstColumn="0" w:lastRowLastColumn="0"/>
            </w:pPr>
            <w:r>
              <w:t>35.6</w:t>
            </w:r>
          </w:p>
        </w:tc>
      </w:tr>
      <w:tr w:rsidR="00E25D70" w14:paraId="2D6BC93D" w14:textId="77777777" w:rsidTr="00E25D70">
        <w:tc>
          <w:tcPr>
            <w:cnfStyle w:val="001000000000" w:firstRow="0" w:lastRow="0" w:firstColumn="1" w:lastColumn="0" w:oddVBand="0" w:evenVBand="0" w:oddHBand="0" w:evenHBand="0" w:firstRowFirstColumn="0" w:firstRowLastColumn="0" w:lastRowFirstColumn="0" w:lastRowLastColumn="0"/>
            <w:tcW w:w="2324" w:type="dxa"/>
            <w:tcBorders>
              <w:top w:val="nil"/>
              <w:left w:val="nil"/>
              <w:bottom w:val="nil"/>
              <w:right w:val="nil"/>
            </w:tcBorders>
            <w:hideMark/>
          </w:tcPr>
          <w:p w14:paraId="13F5DB98" w14:textId="77777777" w:rsidR="00E25D70" w:rsidRDefault="00E25D70">
            <w:r>
              <w:t>Less: regulatory depreciation</w:t>
            </w:r>
          </w:p>
        </w:tc>
        <w:tc>
          <w:tcPr>
            <w:tcW w:w="1133" w:type="dxa"/>
            <w:tcBorders>
              <w:top w:val="nil"/>
              <w:left w:val="nil"/>
              <w:bottom w:val="nil"/>
              <w:right w:val="nil"/>
            </w:tcBorders>
            <w:hideMark/>
          </w:tcPr>
          <w:p w14:paraId="59F60F8A" w14:textId="77777777" w:rsidR="00E25D70" w:rsidRDefault="00E25D70">
            <w:pPr>
              <w:jc w:val="right"/>
              <w:cnfStyle w:val="000000000000" w:firstRow="0" w:lastRow="0" w:firstColumn="0" w:lastColumn="0" w:oddVBand="0" w:evenVBand="0" w:oddHBand="0" w:evenHBand="0" w:firstRowFirstColumn="0" w:firstRowLastColumn="0" w:lastRowFirstColumn="0" w:lastRowLastColumn="0"/>
            </w:pPr>
            <w:r>
              <w:t>19.9</w:t>
            </w:r>
          </w:p>
        </w:tc>
        <w:tc>
          <w:tcPr>
            <w:tcW w:w="1133" w:type="dxa"/>
            <w:tcBorders>
              <w:top w:val="nil"/>
              <w:left w:val="nil"/>
              <w:bottom w:val="nil"/>
              <w:right w:val="nil"/>
            </w:tcBorders>
            <w:hideMark/>
          </w:tcPr>
          <w:p w14:paraId="4FBEF93F" w14:textId="77777777" w:rsidR="00E25D70" w:rsidRDefault="00E25D70">
            <w:pPr>
              <w:jc w:val="right"/>
              <w:cnfStyle w:val="000000000000" w:firstRow="0" w:lastRow="0" w:firstColumn="0" w:lastColumn="0" w:oddVBand="0" w:evenVBand="0" w:oddHBand="0" w:evenHBand="0" w:firstRowFirstColumn="0" w:firstRowLastColumn="0" w:lastRowFirstColumn="0" w:lastRowLastColumn="0"/>
            </w:pPr>
            <w:r>
              <w:t>28.0</w:t>
            </w:r>
          </w:p>
        </w:tc>
        <w:tc>
          <w:tcPr>
            <w:tcW w:w="1133" w:type="dxa"/>
            <w:tcBorders>
              <w:top w:val="nil"/>
              <w:left w:val="nil"/>
              <w:bottom w:val="nil"/>
              <w:right w:val="nil"/>
            </w:tcBorders>
            <w:hideMark/>
          </w:tcPr>
          <w:p w14:paraId="6C6CD71A" w14:textId="77777777" w:rsidR="00E25D70" w:rsidRDefault="00E25D70">
            <w:pPr>
              <w:jc w:val="right"/>
              <w:cnfStyle w:val="000000000000" w:firstRow="0" w:lastRow="0" w:firstColumn="0" w:lastColumn="0" w:oddVBand="0" w:evenVBand="0" w:oddHBand="0" w:evenHBand="0" w:firstRowFirstColumn="0" w:firstRowLastColumn="0" w:lastRowFirstColumn="0" w:lastRowLastColumn="0"/>
            </w:pPr>
            <w:r>
              <w:t>31.2</w:t>
            </w:r>
          </w:p>
        </w:tc>
        <w:tc>
          <w:tcPr>
            <w:tcW w:w="1133" w:type="dxa"/>
            <w:tcBorders>
              <w:top w:val="nil"/>
              <w:left w:val="nil"/>
              <w:bottom w:val="nil"/>
              <w:right w:val="nil"/>
            </w:tcBorders>
            <w:hideMark/>
          </w:tcPr>
          <w:p w14:paraId="2684EBE5" w14:textId="77777777" w:rsidR="00E25D70" w:rsidRDefault="00E25D70">
            <w:pPr>
              <w:jc w:val="right"/>
              <w:cnfStyle w:val="000000000000" w:firstRow="0" w:lastRow="0" w:firstColumn="0" w:lastColumn="0" w:oddVBand="0" w:evenVBand="0" w:oddHBand="0" w:evenHBand="0" w:firstRowFirstColumn="0" w:firstRowLastColumn="0" w:lastRowFirstColumn="0" w:lastRowLastColumn="0"/>
            </w:pPr>
            <w:r>
              <w:t>34.2</w:t>
            </w:r>
          </w:p>
        </w:tc>
        <w:tc>
          <w:tcPr>
            <w:tcW w:w="1133" w:type="dxa"/>
            <w:tcBorders>
              <w:top w:val="nil"/>
              <w:left w:val="nil"/>
              <w:bottom w:val="nil"/>
              <w:right w:val="nil"/>
            </w:tcBorders>
            <w:hideMark/>
          </w:tcPr>
          <w:p w14:paraId="545A75F3" w14:textId="77777777" w:rsidR="00E25D70" w:rsidRDefault="00E25D70">
            <w:pPr>
              <w:jc w:val="right"/>
              <w:cnfStyle w:val="000000000000" w:firstRow="0" w:lastRow="0" w:firstColumn="0" w:lastColumn="0" w:oddVBand="0" w:evenVBand="0" w:oddHBand="0" w:evenHBand="0" w:firstRowFirstColumn="0" w:firstRowLastColumn="0" w:lastRowFirstColumn="0" w:lastRowLastColumn="0"/>
            </w:pPr>
            <w:r>
              <w:t>37.5</w:t>
            </w:r>
          </w:p>
        </w:tc>
      </w:tr>
      <w:tr w:rsidR="00E25D70" w14:paraId="55212A54" w14:textId="77777777" w:rsidTr="00E25D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4" w:type="dxa"/>
            <w:tcBorders>
              <w:top w:val="nil"/>
              <w:left w:val="nil"/>
              <w:bottom w:val="single" w:sz="4" w:space="0" w:color="365F91"/>
              <w:right w:val="nil"/>
            </w:tcBorders>
            <w:hideMark/>
          </w:tcPr>
          <w:p w14:paraId="1B13FA76" w14:textId="77777777" w:rsidR="00E25D70" w:rsidRDefault="00E25D70">
            <w:r>
              <w:lastRenderedPageBreak/>
              <w:t>Closing capital base</w:t>
            </w:r>
          </w:p>
        </w:tc>
        <w:tc>
          <w:tcPr>
            <w:tcW w:w="1133" w:type="dxa"/>
            <w:tcBorders>
              <w:top w:val="nil"/>
              <w:left w:val="nil"/>
              <w:bottom w:val="single" w:sz="4" w:space="0" w:color="365F91"/>
              <w:right w:val="nil"/>
            </w:tcBorders>
            <w:hideMark/>
          </w:tcPr>
          <w:p w14:paraId="687C376A" w14:textId="77777777" w:rsidR="00E25D70" w:rsidRDefault="00E25D70">
            <w:pPr>
              <w:jc w:val="right"/>
              <w:cnfStyle w:val="000000010000" w:firstRow="0" w:lastRow="0" w:firstColumn="0" w:lastColumn="0" w:oddVBand="0" w:evenVBand="0" w:oddHBand="0" w:evenHBand="1" w:firstRowFirstColumn="0" w:firstRowLastColumn="0" w:lastRowFirstColumn="0" w:lastRowLastColumn="0"/>
            </w:pPr>
            <w:r>
              <w:t>1109.7</w:t>
            </w:r>
          </w:p>
        </w:tc>
        <w:tc>
          <w:tcPr>
            <w:tcW w:w="1133" w:type="dxa"/>
            <w:tcBorders>
              <w:top w:val="nil"/>
              <w:left w:val="nil"/>
              <w:bottom w:val="single" w:sz="4" w:space="0" w:color="365F91"/>
              <w:right w:val="nil"/>
            </w:tcBorders>
            <w:hideMark/>
          </w:tcPr>
          <w:p w14:paraId="0066C058" w14:textId="77777777" w:rsidR="00E25D70" w:rsidRDefault="00E25D70">
            <w:pPr>
              <w:jc w:val="right"/>
              <w:cnfStyle w:val="000000010000" w:firstRow="0" w:lastRow="0" w:firstColumn="0" w:lastColumn="0" w:oddVBand="0" w:evenVBand="0" w:oddHBand="0" w:evenHBand="1" w:firstRowFirstColumn="0" w:firstRowLastColumn="0" w:lastRowFirstColumn="0" w:lastRowLastColumn="0"/>
            </w:pPr>
            <w:r>
              <w:t>1121.9</w:t>
            </w:r>
          </w:p>
        </w:tc>
        <w:tc>
          <w:tcPr>
            <w:tcW w:w="1133" w:type="dxa"/>
            <w:tcBorders>
              <w:top w:val="nil"/>
              <w:left w:val="nil"/>
              <w:bottom w:val="single" w:sz="4" w:space="0" w:color="365F91"/>
              <w:right w:val="nil"/>
            </w:tcBorders>
            <w:hideMark/>
          </w:tcPr>
          <w:p w14:paraId="00ED937D" w14:textId="77777777" w:rsidR="00E25D70" w:rsidRDefault="00E25D70">
            <w:pPr>
              <w:jc w:val="right"/>
              <w:cnfStyle w:val="000000010000" w:firstRow="0" w:lastRow="0" w:firstColumn="0" w:lastColumn="0" w:oddVBand="0" w:evenVBand="0" w:oddHBand="0" w:evenHBand="1" w:firstRowFirstColumn="0" w:firstRowLastColumn="0" w:lastRowFirstColumn="0" w:lastRowLastColumn="0"/>
            </w:pPr>
            <w:r>
              <w:t>1139.6</w:t>
            </w:r>
          </w:p>
        </w:tc>
        <w:tc>
          <w:tcPr>
            <w:tcW w:w="1133" w:type="dxa"/>
            <w:tcBorders>
              <w:top w:val="nil"/>
              <w:left w:val="nil"/>
              <w:bottom w:val="single" w:sz="4" w:space="0" w:color="365F91"/>
              <w:right w:val="nil"/>
            </w:tcBorders>
            <w:hideMark/>
          </w:tcPr>
          <w:p w14:paraId="353FD9A2" w14:textId="77777777" w:rsidR="00E25D70" w:rsidRDefault="00E25D70">
            <w:pPr>
              <w:jc w:val="right"/>
              <w:cnfStyle w:val="000000010000" w:firstRow="0" w:lastRow="0" w:firstColumn="0" w:lastColumn="0" w:oddVBand="0" w:evenVBand="0" w:oddHBand="0" w:evenHBand="1" w:firstRowFirstColumn="0" w:firstRowLastColumn="0" w:lastRowFirstColumn="0" w:lastRowLastColumn="0"/>
            </w:pPr>
            <w:r>
              <w:t>1171.5</w:t>
            </w:r>
          </w:p>
        </w:tc>
        <w:tc>
          <w:tcPr>
            <w:tcW w:w="1133" w:type="dxa"/>
            <w:tcBorders>
              <w:top w:val="nil"/>
              <w:left w:val="nil"/>
              <w:bottom w:val="single" w:sz="4" w:space="0" w:color="365F91"/>
              <w:right w:val="nil"/>
            </w:tcBorders>
            <w:hideMark/>
          </w:tcPr>
          <w:p w14:paraId="6D8CFF0B" w14:textId="77777777" w:rsidR="00E25D70" w:rsidRDefault="00E25D70">
            <w:pPr>
              <w:jc w:val="right"/>
              <w:cnfStyle w:val="000000010000" w:firstRow="0" w:lastRow="0" w:firstColumn="0" w:lastColumn="0" w:oddVBand="0" w:evenVBand="0" w:oddHBand="0" w:evenHBand="1" w:firstRowFirstColumn="0" w:firstRowLastColumn="0" w:lastRowFirstColumn="0" w:lastRowLastColumn="0"/>
            </w:pPr>
            <w:r>
              <w:t>1169.6</w:t>
            </w:r>
          </w:p>
        </w:tc>
      </w:tr>
    </w:tbl>
    <w:p w14:paraId="7461B08E" w14:textId="77777777" w:rsidR="00E25D70" w:rsidRDefault="00E25D70" w:rsidP="00E25D70">
      <w:pPr>
        <w:pStyle w:val="AERtablesource"/>
        <w:ind w:left="0" w:firstLine="0"/>
      </w:pPr>
      <w:r>
        <w:t>Source:</w:t>
      </w:r>
      <w:r>
        <w:tab/>
        <w:t>AER analysis.</w:t>
      </w:r>
    </w:p>
    <w:p w14:paraId="62BF21D5" w14:textId="77777777" w:rsidR="00E25D70" w:rsidRDefault="00E25D70" w:rsidP="00E25D70">
      <w:pPr>
        <w:pStyle w:val="AERtablesource"/>
      </w:pPr>
      <w:r>
        <w:t xml:space="preserve">Note: </w:t>
      </w:r>
      <w:r>
        <w:tab/>
        <w:t>Totals may not add due to rounding.</w:t>
      </w:r>
    </w:p>
    <w:p w14:paraId="5981D819" w14:textId="77777777" w:rsidR="00E25D70" w:rsidRDefault="00E25D70" w:rsidP="00E25D70">
      <w:pPr>
        <w:pStyle w:val="Heading1"/>
        <w:numPr>
          <w:ilvl w:val="1"/>
          <w:numId w:val="46"/>
        </w:numPr>
      </w:pPr>
      <w:bookmarkStart w:id="20" w:name="_Toc368044961"/>
      <w:r>
        <w:lastRenderedPageBreak/>
        <w:t>Cost of income tax</w:t>
      </w:r>
      <w:bookmarkEnd w:id="20"/>
    </w:p>
    <w:p w14:paraId="654C0A40" w14:textId="77777777" w:rsidR="00E25D70" w:rsidRDefault="00E25D70" w:rsidP="00E25D70">
      <w:pPr>
        <w:pStyle w:val="AERbodytext"/>
        <w:numPr>
          <w:ilvl w:val="0"/>
          <w:numId w:val="47"/>
        </w:numPr>
      </w:pPr>
      <w:r>
        <w:t xml:space="preserve">The AER has calculated the opening tax asset base in accordance with the Tribunal’s orders. The adjustment to the opening tax asset base affects the revenues and costs used to estimate Multinet’s cost corporate income of tax. </w:t>
      </w:r>
    </w:p>
    <w:p w14:paraId="31322AEB" w14:textId="77777777" w:rsidR="00E25D70" w:rsidRDefault="00E25D70" w:rsidP="00E25D70">
      <w:pPr>
        <w:pStyle w:val="Heading2"/>
        <w:numPr>
          <w:ilvl w:val="2"/>
          <w:numId w:val="46"/>
        </w:numPr>
      </w:pPr>
      <w:bookmarkStart w:id="21" w:name="_Toc368044962"/>
      <w:r>
        <w:t>Decision</w:t>
      </w:r>
      <w:bookmarkEnd w:id="21"/>
    </w:p>
    <w:p w14:paraId="6CA541E6" w14:textId="77777777" w:rsidR="00E25D70" w:rsidRDefault="00E25D70" w:rsidP="00E25D70">
      <w:pPr>
        <w:pStyle w:val="AERbodytext"/>
        <w:numPr>
          <w:ilvl w:val="0"/>
          <w:numId w:val="47"/>
        </w:numPr>
      </w:pPr>
      <w:r>
        <w:t>The AER’s decision on Multinet’s cost of corporate income tax is $30.6 million ($nominal) for the 2013–17 access arrangement period as set out in table 4.1.</w:t>
      </w:r>
    </w:p>
    <w:p w14:paraId="1ADE0E2A" w14:textId="77777777" w:rsidR="00E25D70" w:rsidRDefault="00E25D70" w:rsidP="00E25D70">
      <w:pPr>
        <w:pStyle w:val="Caption"/>
      </w:pPr>
      <w:r>
        <w:t>Table 4.1</w:t>
      </w:r>
      <w:r>
        <w:tab/>
        <w:t>AER's decision on Multinet's corporate income tax allowance ($million, nominal)</w:t>
      </w:r>
    </w:p>
    <w:tbl>
      <w:tblPr>
        <w:tblStyle w:val="AERtable-numbers"/>
        <w:tblW w:w="9358" w:type="dxa"/>
        <w:tblLook w:val="04A0" w:firstRow="1" w:lastRow="0" w:firstColumn="1" w:lastColumn="0" w:noHBand="0" w:noVBand="1"/>
      </w:tblPr>
      <w:tblGrid>
        <w:gridCol w:w="2560"/>
        <w:gridCol w:w="1133"/>
        <w:gridCol w:w="1133"/>
        <w:gridCol w:w="1133"/>
        <w:gridCol w:w="1133"/>
        <w:gridCol w:w="1133"/>
        <w:gridCol w:w="1133"/>
      </w:tblGrid>
      <w:tr w:rsidR="00E25D70" w14:paraId="55CC3125" w14:textId="77777777" w:rsidTr="00E25D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dxa"/>
            <w:tcBorders>
              <w:top w:val="nil"/>
              <w:left w:val="nil"/>
              <w:bottom w:val="nil"/>
              <w:right w:val="nil"/>
            </w:tcBorders>
          </w:tcPr>
          <w:p w14:paraId="53D2339A" w14:textId="77777777" w:rsidR="00E25D70" w:rsidRDefault="00E25D70"/>
        </w:tc>
        <w:tc>
          <w:tcPr>
            <w:tcW w:w="1133" w:type="dxa"/>
            <w:tcBorders>
              <w:top w:val="nil"/>
              <w:left w:val="nil"/>
              <w:bottom w:val="nil"/>
              <w:right w:val="nil"/>
            </w:tcBorders>
            <w:hideMark/>
          </w:tcPr>
          <w:p w14:paraId="42128CB0" w14:textId="77777777" w:rsidR="00E25D70" w:rsidRDefault="00E25D70">
            <w:pPr>
              <w:jc w:val="right"/>
              <w:cnfStyle w:val="100000000000" w:firstRow="1" w:lastRow="0" w:firstColumn="0" w:lastColumn="0" w:oddVBand="0" w:evenVBand="0" w:oddHBand="0" w:evenHBand="0" w:firstRowFirstColumn="0" w:firstRowLastColumn="0" w:lastRowFirstColumn="0" w:lastRowLastColumn="0"/>
            </w:pPr>
            <w:r>
              <w:t>2013</w:t>
            </w:r>
          </w:p>
        </w:tc>
        <w:tc>
          <w:tcPr>
            <w:tcW w:w="1133" w:type="dxa"/>
            <w:tcBorders>
              <w:top w:val="nil"/>
              <w:left w:val="nil"/>
              <w:bottom w:val="nil"/>
              <w:right w:val="nil"/>
            </w:tcBorders>
            <w:hideMark/>
          </w:tcPr>
          <w:p w14:paraId="5CAC0B6F" w14:textId="77777777" w:rsidR="00E25D70" w:rsidRDefault="00E25D70">
            <w:pPr>
              <w:jc w:val="right"/>
              <w:cnfStyle w:val="100000000000" w:firstRow="1" w:lastRow="0" w:firstColumn="0" w:lastColumn="0" w:oddVBand="0" w:evenVBand="0" w:oddHBand="0" w:evenHBand="0" w:firstRowFirstColumn="0" w:firstRowLastColumn="0" w:lastRowFirstColumn="0" w:lastRowLastColumn="0"/>
            </w:pPr>
            <w:r>
              <w:t>2014</w:t>
            </w:r>
          </w:p>
        </w:tc>
        <w:tc>
          <w:tcPr>
            <w:tcW w:w="1133" w:type="dxa"/>
            <w:tcBorders>
              <w:top w:val="nil"/>
              <w:left w:val="nil"/>
              <w:bottom w:val="nil"/>
              <w:right w:val="nil"/>
            </w:tcBorders>
            <w:hideMark/>
          </w:tcPr>
          <w:p w14:paraId="4F3F96D0" w14:textId="77777777" w:rsidR="00E25D70" w:rsidRDefault="00E25D70">
            <w:pPr>
              <w:jc w:val="right"/>
              <w:cnfStyle w:val="100000000000" w:firstRow="1" w:lastRow="0" w:firstColumn="0" w:lastColumn="0" w:oddVBand="0" w:evenVBand="0" w:oddHBand="0" w:evenHBand="0" w:firstRowFirstColumn="0" w:firstRowLastColumn="0" w:lastRowFirstColumn="0" w:lastRowLastColumn="0"/>
            </w:pPr>
            <w:r>
              <w:t>2015</w:t>
            </w:r>
          </w:p>
        </w:tc>
        <w:tc>
          <w:tcPr>
            <w:tcW w:w="1133" w:type="dxa"/>
            <w:tcBorders>
              <w:top w:val="nil"/>
              <w:left w:val="nil"/>
              <w:bottom w:val="nil"/>
              <w:right w:val="nil"/>
            </w:tcBorders>
            <w:hideMark/>
          </w:tcPr>
          <w:p w14:paraId="55897C35" w14:textId="77777777" w:rsidR="00E25D70" w:rsidRDefault="00E25D70">
            <w:pPr>
              <w:jc w:val="right"/>
              <w:cnfStyle w:val="100000000000" w:firstRow="1" w:lastRow="0" w:firstColumn="0" w:lastColumn="0" w:oddVBand="0" w:evenVBand="0" w:oddHBand="0" w:evenHBand="0" w:firstRowFirstColumn="0" w:firstRowLastColumn="0" w:lastRowFirstColumn="0" w:lastRowLastColumn="0"/>
            </w:pPr>
            <w:r>
              <w:t>2016</w:t>
            </w:r>
          </w:p>
        </w:tc>
        <w:tc>
          <w:tcPr>
            <w:tcW w:w="1133" w:type="dxa"/>
            <w:tcBorders>
              <w:top w:val="nil"/>
              <w:left w:val="nil"/>
              <w:bottom w:val="nil"/>
              <w:right w:val="nil"/>
            </w:tcBorders>
            <w:hideMark/>
          </w:tcPr>
          <w:p w14:paraId="166EE482" w14:textId="77777777" w:rsidR="00E25D70" w:rsidRDefault="00E25D70">
            <w:pPr>
              <w:jc w:val="right"/>
              <w:cnfStyle w:val="100000000000" w:firstRow="1" w:lastRow="0" w:firstColumn="0" w:lastColumn="0" w:oddVBand="0" w:evenVBand="0" w:oddHBand="0" w:evenHBand="0" w:firstRowFirstColumn="0" w:firstRowLastColumn="0" w:lastRowFirstColumn="0" w:lastRowLastColumn="0"/>
            </w:pPr>
            <w:r>
              <w:t>2017</w:t>
            </w:r>
          </w:p>
        </w:tc>
        <w:tc>
          <w:tcPr>
            <w:tcW w:w="1133" w:type="dxa"/>
            <w:tcBorders>
              <w:top w:val="nil"/>
              <w:left w:val="nil"/>
              <w:bottom w:val="nil"/>
              <w:right w:val="nil"/>
            </w:tcBorders>
            <w:hideMark/>
          </w:tcPr>
          <w:p w14:paraId="37410E3E" w14:textId="77777777" w:rsidR="00E25D70" w:rsidRDefault="00E25D70">
            <w:pPr>
              <w:jc w:val="right"/>
              <w:cnfStyle w:val="100000000000" w:firstRow="1" w:lastRow="0" w:firstColumn="0" w:lastColumn="0" w:oddVBand="0" w:evenVBand="0" w:oddHBand="0" w:evenHBand="0" w:firstRowFirstColumn="0" w:firstRowLastColumn="0" w:lastRowFirstColumn="0" w:lastRowLastColumn="0"/>
            </w:pPr>
            <w:r>
              <w:t>Total</w:t>
            </w:r>
          </w:p>
        </w:tc>
      </w:tr>
      <w:tr w:rsidR="00E25D70" w14:paraId="0D6C87C8" w14:textId="77777777" w:rsidTr="00E25D70">
        <w:tc>
          <w:tcPr>
            <w:cnfStyle w:val="001000000000" w:firstRow="0" w:lastRow="0" w:firstColumn="1" w:lastColumn="0" w:oddVBand="0" w:evenVBand="0" w:oddHBand="0" w:evenHBand="0" w:firstRowFirstColumn="0" w:firstRowLastColumn="0" w:lastRowFirstColumn="0" w:lastRowLastColumn="0"/>
            <w:tcW w:w="2560" w:type="dxa"/>
            <w:tcBorders>
              <w:top w:val="nil"/>
              <w:left w:val="nil"/>
              <w:bottom w:val="nil"/>
              <w:right w:val="nil"/>
            </w:tcBorders>
            <w:hideMark/>
          </w:tcPr>
          <w:p w14:paraId="1586435E" w14:textId="77777777" w:rsidR="00E25D70" w:rsidRDefault="00E25D70">
            <w:r>
              <w:t>Tax payable</w:t>
            </w:r>
          </w:p>
        </w:tc>
        <w:tc>
          <w:tcPr>
            <w:tcW w:w="1133" w:type="dxa"/>
            <w:tcBorders>
              <w:top w:val="nil"/>
              <w:left w:val="nil"/>
              <w:bottom w:val="nil"/>
              <w:right w:val="nil"/>
            </w:tcBorders>
            <w:hideMark/>
          </w:tcPr>
          <w:p w14:paraId="5AD32857" w14:textId="77777777" w:rsidR="00E25D70" w:rsidRDefault="00E25D70">
            <w:pPr>
              <w:jc w:val="right"/>
              <w:cnfStyle w:val="000000000000" w:firstRow="0" w:lastRow="0" w:firstColumn="0" w:lastColumn="0" w:oddVBand="0" w:evenVBand="0" w:oddHBand="0" w:evenHBand="0" w:firstRowFirstColumn="0" w:firstRowLastColumn="0" w:lastRowFirstColumn="0" w:lastRowLastColumn="0"/>
            </w:pPr>
            <w:r>
              <w:t>6.7</w:t>
            </w:r>
          </w:p>
        </w:tc>
        <w:tc>
          <w:tcPr>
            <w:tcW w:w="1133" w:type="dxa"/>
            <w:tcBorders>
              <w:top w:val="nil"/>
              <w:left w:val="nil"/>
              <w:bottom w:val="nil"/>
              <w:right w:val="nil"/>
            </w:tcBorders>
            <w:hideMark/>
          </w:tcPr>
          <w:p w14:paraId="71BF7E79" w14:textId="77777777" w:rsidR="00E25D70" w:rsidRDefault="00E25D70">
            <w:pPr>
              <w:jc w:val="right"/>
              <w:cnfStyle w:val="000000000000" w:firstRow="0" w:lastRow="0" w:firstColumn="0" w:lastColumn="0" w:oddVBand="0" w:evenVBand="0" w:oddHBand="0" w:evenHBand="0" w:firstRowFirstColumn="0" w:firstRowLastColumn="0" w:lastRowFirstColumn="0" w:lastRowLastColumn="0"/>
            </w:pPr>
            <w:r>
              <w:t>6.8</w:t>
            </w:r>
          </w:p>
        </w:tc>
        <w:tc>
          <w:tcPr>
            <w:tcW w:w="1133" w:type="dxa"/>
            <w:tcBorders>
              <w:top w:val="nil"/>
              <w:left w:val="nil"/>
              <w:bottom w:val="nil"/>
              <w:right w:val="nil"/>
            </w:tcBorders>
            <w:hideMark/>
          </w:tcPr>
          <w:p w14:paraId="5A63E53C" w14:textId="77777777" w:rsidR="00E25D70" w:rsidRDefault="00E25D70">
            <w:pPr>
              <w:jc w:val="right"/>
              <w:cnfStyle w:val="000000000000" w:firstRow="0" w:lastRow="0" w:firstColumn="0" w:lastColumn="0" w:oddVBand="0" w:evenVBand="0" w:oddHBand="0" w:evenHBand="0" w:firstRowFirstColumn="0" w:firstRowLastColumn="0" w:lastRowFirstColumn="0" w:lastRowLastColumn="0"/>
            </w:pPr>
            <w:r>
              <w:t>7.6</w:t>
            </w:r>
          </w:p>
        </w:tc>
        <w:tc>
          <w:tcPr>
            <w:tcW w:w="1133" w:type="dxa"/>
            <w:tcBorders>
              <w:top w:val="nil"/>
              <w:left w:val="nil"/>
              <w:bottom w:val="nil"/>
              <w:right w:val="nil"/>
            </w:tcBorders>
            <w:hideMark/>
          </w:tcPr>
          <w:p w14:paraId="455E239C" w14:textId="77777777" w:rsidR="00E25D70" w:rsidRDefault="00E25D70">
            <w:pPr>
              <w:jc w:val="right"/>
              <w:cnfStyle w:val="000000000000" w:firstRow="0" w:lastRow="0" w:firstColumn="0" w:lastColumn="0" w:oddVBand="0" w:evenVBand="0" w:oddHBand="0" w:evenHBand="0" w:firstRowFirstColumn="0" w:firstRowLastColumn="0" w:lastRowFirstColumn="0" w:lastRowLastColumn="0"/>
            </w:pPr>
            <w:r>
              <w:t>8.9</w:t>
            </w:r>
          </w:p>
        </w:tc>
        <w:tc>
          <w:tcPr>
            <w:tcW w:w="1133" w:type="dxa"/>
            <w:tcBorders>
              <w:top w:val="nil"/>
              <w:left w:val="nil"/>
              <w:bottom w:val="nil"/>
              <w:right w:val="nil"/>
            </w:tcBorders>
            <w:hideMark/>
          </w:tcPr>
          <w:p w14:paraId="4788F854" w14:textId="77777777" w:rsidR="00E25D70" w:rsidRDefault="00E25D70">
            <w:pPr>
              <w:jc w:val="right"/>
              <w:cnfStyle w:val="000000000000" w:firstRow="0" w:lastRow="0" w:firstColumn="0" w:lastColumn="0" w:oddVBand="0" w:evenVBand="0" w:oddHBand="0" w:evenHBand="0" w:firstRowFirstColumn="0" w:firstRowLastColumn="0" w:lastRowFirstColumn="0" w:lastRowLastColumn="0"/>
            </w:pPr>
            <w:r>
              <w:t>10.8</w:t>
            </w:r>
          </w:p>
        </w:tc>
        <w:tc>
          <w:tcPr>
            <w:tcW w:w="1133" w:type="dxa"/>
            <w:tcBorders>
              <w:top w:val="nil"/>
              <w:left w:val="nil"/>
              <w:bottom w:val="nil"/>
              <w:right w:val="nil"/>
            </w:tcBorders>
            <w:hideMark/>
          </w:tcPr>
          <w:p w14:paraId="6CAB947E" w14:textId="77777777" w:rsidR="00E25D70" w:rsidRDefault="00E25D70">
            <w:pPr>
              <w:jc w:val="right"/>
              <w:cnfStyle w:val="000000000000" w:firstRow="0" w:lastRow="0" w:firstColumn="0" w:lastColumn="0" w:oddVBand="0" w:evenVBand="0" w:oddHBand="0" w:evenHBand="0" w:firstRowFirstColumn="0" w:firstRowLastColumn="0" w:lastRowFirstColumn="0" w:lastRowLastColumn="0"/>
            </w:pPr>
            <w:r>
              <w:t>40.8</w:t>
            </w:r>
          </w:p>
        </w:tc>
      </w:tr>
      <w:tr w:rsidR="00E25D70" w14:paraId="2B165634" w14:textId="77777777" w:rsidTr="00E25D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dxa"/>
            <w:tcBorders>
              <w:top w:val="nil"/>
              <w:left w:val="nil"/>
              <w:bottom w:val="nil"/>
              <w:right w:val="nil"/>
            </w:tcBorders>
            <w:hideMark/>
          </w:tcPr>
          <w:p w14:paraId="17A1CD9D" w14:textId="77777777" w:rsidR="00E25D70" w:rsidRDefault="00E25D70">
            <w:r>
              <w:t>Less: value of imputation credits</w:t>
            </w:r>
          </w:p>
        </w:tc>
        <w:tc>
          <w:tcPr>
            <w:tcW w:w="1133" w:type="dxa"/>
            <w:tcBorders>
              <w:top w:val="nil"/>
              <w:left w:val="nil"/>
              <w:bottom w:val="nil"/>
              <w:right w:val="nil"/>
            </w:tcBorders>
            <w:hideMark/>
          </w:tcPr>
          <w:p w14:paraId="3559BE3A" w14:textId="77777777" w:rsidR="00E25D70" w:rsidRDefault="00E25D70">
            <w:pPr>
              <w:jc w:val="right"/>
              <w:cnfStyle w:val="000000010000" w:firstRow="0" w:lastRow="0" w:firstColumn="0" w:lastColumn="0" w:oddVBand="0" w:evenVBand="0" w:oddHBand="0" w:evenHBand="1" w:firstRowFirstColumn="0" w:firstRowLastColumn="0" w:lastRowFirstColumn="0" w:lastRowLastColumn="0"/>
            </w:pPr>
            <w:r>
              <w:t>1.7</w:t>
            </w:r>
          </w:p>
        </w:tc>
        <w:tc>
          <w:tcPr>
            <w:tcW w:w="1133" w:type="dxa"/>
            <w:tcBorders>
              <w:top w:val="nil"/>
              <w:left w:val="nil"/>
              <w:bottom w:val="nil"/>
              <w:right w:val="nil"/>
            </w:tcBorders>
            <w:hideMark/>
          </w:tcPr>
          <w:p w14:paraId="4EE387C4" w14:textId="77777777" w:rsidR="00E25D70" w:rsidRDefault="00E25D70">
            <w:pPr>
              <w:jc w:val="right"/>
              <w:cnfStyle w:val="000000010000" w:firstRow="0" w:lastRow="0" w:firstColumn="0" w:lastColumn="0" w:oddVBand="0" w:evenVBand="0" w:oddHBand="0" w:evenHBand="1" w:firstRowFirstColumn="0" w:firstRowLastColumn="0" w:lastRowFirstColumn="0" w:lastRowLastColumn="0"/>
            </w:pPr>
            <w:r>
              <w:t>1.7</w:t>
            </w:r>
          </w:p>
        </w:tc>
        <w:tc>
          <w:tcPr>
            <w:tcW w:w="1133" w:type="dxa"/>
            <w:tcBorders>
              <w:top w:val="nil"/>
              <w:left w:val="nil"/>
              <w:bottom w:val="nil"/>
              <w:right w:val="nil"/>
            </w:tcBorders>
            <w:hideMark/>
          </w:tcPr>
          <w:p w14:paraId="09DC5C19" w14:textId="77777777" w:rsidR="00E25D70" w:rsidRDefault="00E25D70">
            <w:pPr>
              <w:jc w:val="right"/>
              <w:cnfStyle w:val="000000010000" w:firstRow="0" w:lastRow="0" w:firstColumn="0" w:lastColumn="0" w:oddVBand="0" w:evenVBand="0" w:oddHBand="0" w:evenHBand="1" w:firstRowFirstColumn="0" w:firstRowLastColumn="0" w:lastRowFirstColumn="0" w:lastRowLastColumn="0"/>
            </w:pPr>
            <w:r>
              <w:t>1.9</w:t>
            </w:r>
          </w:p>
        </w:tc>
        <w:tc>
          <w:tcPr>
            <w:tcW w:w="1133" w:type="dxa"/>
            <w:tcBorders>
              <w:top w:val="nil"/>
              <w:left w:val="nil"/>
              <w:bottom w:val="nil"/>
              <w:right w:val="nil"/>
            </w:tcBorders>
            <w:hideMark/>
          </w:tcPr>
          <w:p w14:paraId="65C5E227" w14:textId="77777777" w:rsidR="00E25D70" w:rsidRDefault="00E25D70">
            <w:pPr>
              <w:jc w:val="right"/>
              <w:cnfStyle w:val="000000010000" w:firstRow="0" w:lastRow="0" w:firstColumn="0" w:lastColumn="0" w:oddVBand="0" w:evenVBand="0" w:oddHBand="0" w:evenHBand="1" w:firstRowFirstColumn="0" w:firstRowLastColumn="0" w:lastRowFirstColumn="0" w:lastRowLastColumn="0"/>
            </w:pPr>
            <w:r>
              <w:t>2.2</w:t>
            </w:r>
          </w:p>
        </w:tc>
        <w:tc>
          <w:tcPr>
            <w:tcW w:w="1133" w:type="dxa"/>
            <w:tcBorders>
              <w:top w:val="nil"/>
              <w:left w:val="nil"/>
              <w:bottom w:val="nil"/>
              <w:right w:val="nil"/>
            </w:tcBorders>
            <w:hideMark/>
          </w:tcPr>
          <w:p w14:paraId="7381DF69" w14:textId="77777777" w:rsidR="00E25D70" w:rsidRDefault="00E25D70">
            <w:pPr>
              <w:jc w:val="right"/>
              <w:cnfStyle w:val="000000010000" w:firstRow="0" w:lastRow="0" w:firstColumn="0" w:lastColumn="0" w:oddVBand="0" w:evenVBand="0" w:oddHBand="0" w:evenHBand="1" w:firstRowFirstColumn="0" w:firstRowLastColumn="0" w:lastRowFirstColumn="0" w:lastRowLastColumn="0"/>
            </w:pPr>
            <w:r>
              <w:t>2.7</w:t>
            </w:r>
          </w:p>
        </w:tc>
        <w:tc>
          <w:tcPr>
            <w:tcW w:w="1133" w:type="dxa"/>
            <w:tcBorders>
              <w:top w:val="nil"/>
              <w:left w:val="nil"/>
              <w:bottom w:val="nil"/>
              <w:right w:val="nil"/>
            </w:tcBorders>
            <w:hideMark/>
          </w:tcPr>
          <w:p w14:paraId="5864B8E7" w14:textId="77777777" w:rsidR="00E25D70" w:rsidRDefault="00E25D70">
            <w:pPr>
              <w:jc w:val="right"/>
              <w:cnfStyle w:val="000000010000" w:firstRow="0" w:lastRow="0" w:firstColumn="0" w:lastColumn="0" w:oddVBand="0" w:evenVBand="0" w:oddHBand="0" w:evenHBand="1" w:firstRowFirstColumn="0" w:firstRowLastColumn="0" w:lastRowFirstColumn="0" w:lastRowLastColumn="0"/>
            </w:pPr>
            <w:r>
              <w:t>10.2</w:t>
            </w:r>
          </w:p>
        </w:tc>
      </w:tr>
      <w:tr w:rsidR="00E25D70" w14:paraId="4F4A5EA7" w14:textId="77777777" w:rsidTr="00E25D70">
        <w:tc>
          <w:tcPr>
            <w:cnfStyle w:val="001000000000" w:firstRow="0" w:lastRow="0" w:firstColumn="1" w:lastColumn="0" w:oddVBand="0" w:evenVBand="0" w:oddHBand="0" w:evenHBand="0" w:firstRowFirstColumn="0" w:firstRowLastColumn="0" w:lastRowFirstColumn="0" w:lastRowLastColumn="0"/>
            <w:tcW w:w="2560" w:type="dxa"/>
            <w:tcBorders>
              <w:top w:val="nil"/>
              <w:left w:val="nil"/>
              <w:bottom w:val="single" w:sz="4" w:space="0" w:color="365F91"/>
              <w:right w:val="nil"/>
            </w:tcBorders>
            <w:hideMark/>
          </w:tcPr>
          <w:p w14:paraId="12F5CC08" w14:textId="77777777" w:rsidR="00E25D70" w:rsidRDefault="00E25D70">
            <w:r>
              <w:t>Net corporate income tax allowance</w:t>
            </w:r>
          </w:p>
        </w:tc>
        <w:tc>
          <w:tcPr>
            <w:tcW w:w="1133" w:type="dxa"/>
            <w:tcBorders>
              <w:top w:val="nil"/>
              <w:left w:val="nil"/>
              <w:bottom w:val="single" w:sz="4" w:space="0" w:color="365F91"/>
              <w:right w:val="nil"/>
            </w:tcBorders>
            <w:hideMark/>
          </w:tcPr>
          <w:p w14:paraId="7AA0F8CA" w14:textId="77777777" w:rsidR="00E25D70" w:rsidRDefault="00E25D70">
            <w:pPr>
              <w:jc w:val="right"/>
              <w:cnfStyle w:val="000000000000" w:firstRow="0" w:lastRow="0" w:firstColumn="0" w:lastColumn="0" w:oddVBand="0" w:evenVBand="0" w:oddHBand="0" w:evenHBand="0" w:firstRowFirstColumn="0" w:firstRowLastColumn="0" w:lastRowFirstColumn="0" w:lastRowLastColumn="0"/>
            </w:pPr>
            <w:r>
              <w:t>5.0</w:t>
            </w:r>
          </w:p>
        </w:tc>
        <w:tc>
          <w:tcPr>
            <w:tcW w:w="1133" w:type="dxa"/>
            <w:tcBorders>
              <w:top w:val="nil"/>
              <w:left w:val="nil"/>
              <w:bottom w:val="single" w:sz="4" w:space="0" w:color="365F91"/>
              <w:right w:val="nil"/>
            </w:tcBorders>
            <w:hideMark/>
          </w:tcPr>
          <w:p w14:paraId="0C754BD5" w14:textId="77777777" w:rsidR="00E25D70" w:rsidRDefault="00E25D70">
            <w:pPr>
              <w:jc w:val="right"/>
              <w:cnfStyle w:val="000000000000" w:firstRow="0" w:lastRow="0" w:firstColumn="0" w:lastColumn="0" w:oddVBand="0" w:evenVBand="0" w:oddHBand="0" w:evenHBand="0" w:firstRowFirstColumn="0" w:firstRowLastColumn="0" w:lastRowFirstColumn="0" w:lastRowLastColumn="0"/>
            </w:pPr>
            <w:r>
              <w:t>5.1</w:t>
            </w:r>
          </w:p>
        </w:tc>
        <w:tc>
          <w:tcPr>
            <w:tcW w:w="1133" w:type="dxa"/>
            <w:tcBorders>
              <w:top w:val="nil"/>
              <w:left w:val="nil"/>
              <w:bottom w:val="single" w:sz="4" w:space="0" w:color="365F91"/>
              <w:right w:val="nil"/>
            </w:tcBorders>
            <w:hideMark/>
          </w:tcPr>
          <w:p w14:paraId="0AEAD3F8" w14:textId="77777777" w:rsidR="00E25D70" w:rsidRDefault="00E25D70">
            <w:pPr>
              <w:jc w:val="right"/>
              <w:cnfStyle w:val="000000000000" w:firstRow="0" w:lastRow="0" w:firstColumn="0" w:lastColumn="0" w:oddVBand="0" w:evenVBand="0" w:oddHBand="0" w:evenHBand="0" w:firstRowFirstColumn="0" w:firstRowLastColumn="0" w:lastRowFirstColumn="0" w:lastRowLastColumn="0"/>
            </w:pPr>
            <w:r>
              <w:t>5.7</w:t>
            </w:r>
          </w:p>
        </w:tc>
        <w:tc>
          <w:tcPr>
            <w:tcW w:w="1133" w:type="dxa"/>
            <w:tcBorders>
              <w:top w:val="nil"/>
              <w:left w:val="nil"/>
              <w:bottom w:val="single" w:sz="4" w:space="0" w:color="365F91"/>
              <w:right w:val="nil"/>
            </w:tcBorders>
            <w:hideMark/>
          </w:tcPr>
          <w:p w14:paraId="6DD27D4D" w14:textId="77777777" w:rsidR="00E25D70" w:rsidRDefault="00E25D70">
            <w:pPr>
              <w:jc w:val="right"/>
              <w:cnfStyle w:val="000000000000" w:firstRow="0" w:lastRow="0" w:firstColumn="0" w:lastColumn="0" w:oddVBand="0" w:evenVBand="0" w:oddHBand="0" w:evenHBand="0" w:firstRowFirstColumn="0" w:firstRowLastColumn="0" w:lastRowFirstColumn="0" w:lastRowLastColumn="0"/>
            </w:pPr>
            <w:r>
              <w:t>6.7</w:t>
            </w:r>
          </w:p>
        </w:tc>
        <w:tc>
          <w:tcPr>
            <w:tcW w:w="1133" w:type="dxa"/>
            <w:tcBorders>
              <w:top w:val="nil"/>
              <w:left w:val="nil"/>
              <w:bottom w:val="single" w:sz="4" w:space="0" w:color="365F91"/>
              <w:right w:val="nil"/>
            </w:tcBorders>
            <w:hideMark/>
          </w:tcPr>
          <w:p w14:paraId="3F1DD342" w14:textId="77777777" w:rsidR="00E25D70" w:rsidRDefault="00E25D70">
            <w:pPr>
              <w:jc w:val="right"/>
              <w:cnfStyle w:val="000000000000" w:firstRow="0" w:lastRow="0" w:firstColumn="0" w:lastColumn="0" w:oddVBand="0" w:evenVBand="0" w:oddHBand="0" w:evenHBand="0" w:firstRowFirstColumn="0" w:firstRowLastColumn="0" w:lastRowFirstColumn="0" w:lastRowLastColumn="0"/>
            </w:pPr>
            <w:r>
              <w:rPr>
                <w:rStyle w:val="CommentReference"/>
              </w:rPr>
              <w:t>8.1</w:t>
            </w:r>
          </w:p>
        </w:tc>
        <w:tc>
          <w:tcPr>
            <w:tcW w:w="1133" w:type="dxa"/>
            <w:tcBorders>
              <w:top w:val="nil"/>
              <w:left w:val="nil"/>
              <w:bottom w:val="single" w:sz="4" w:space="0" w:color="365F91"/>
              <w:right w:val="nil"/>
            </w:tcBorders>
            <w:hideMark/>
          </w:tcPr>
          <w:p w14:paraId="763E4E2F" w14:textId="77777777" w:rsidR="00E25D70" w:rsidRDefault="00E25D70">
            <w:pPr>
              <w:jc w:val="right"/>
              <w:cnfStyle w:val="000000000000" w:firstRow="0" w:lastRow="0" w:firstColumn="0" w:lastColumn="0" w:oddVBand="0" w:evenVBand="0" w:oddHBand="0" w:evenHBand="0" w:firstRowFirstColumn="0" w:firstRowLastColumn="0" w:lastRowFirstColumn="0" w:lastRowLastColumn="0"/>
              <w:rPr>
                <w:rStyle w:val="CommentReference"/>
              </w:rPr>
            </w:pPr>
            <w:r>
              <w:rPr>
                <w:rStyle w:val="CommentReference"/>
              </w:rPr>
              <w:t>30.6</w:t>
            </w:r>
          </w:p>
        </w:tc>
      </w:tr>
    </w:tbl>
    <w:p w14:paraId="731E16FD" w14:textId="77777777" w:rsidR="00E25D70" w:rsidRDefault="00E25D70" w:rsidP="00E25D70">
      <w:pPr>
        <w:pStyle w:val="AERtablesource"/>
        <w:ind w:left="0" w:firstLine="0"/>
      </w:pPr>
      <w:r>
        <w:t>Source:</w:t>
      </w:r>
      <w:r>
        <w:tab/>
        <w:t>AER analysis.</w:t>
      </w:r>
    </w:p>
    <w:p w14:paraId="6464DE72" w14:textId="77777777" w:rsidR="00E25D70" w:rsidRDefault="00E25D70" w:rsidP="00E25D70">
      <w:pPr>
        <w:pStyle w:val="AERtablesource"/>
      </w:pPr>
      <w:r>
        <w:t xml:space="preserve">Note: </w:t>
      </w:r>
      <w:r>
        <w:tab/>
        <w:t>Totals may not add due to rounding</w:t>
      </w:r>
    </w:p>
    <w:p w14:paraId="0CB6A30B" w14:textId="77777777" w:rsidR="00E25D70" w:rsidRDefault="00E25D70" w:rsidP="00E25D70">
      <w:pPr>
        <w:pStyle w:val="Heading2"/>
        <w:numPr>
          <w:ilvl w:val="2"/>
          <w:numId w:val="46"/>
        </w:numPr>
      </w:pPr>
      <w:bookmarkStart w:id="22" w:name="_Toc368044963"/>
      <w:r>
        <w:t>Tax asset base</w:t>
      </w:r>
      <w:bookmarkEnd w:id="22"/>
    </w:p>
    <w:p w14:paraId="5599987D" w14:textId="77777777" w:rsidR="00E25D70" w:rsidRDefault="00E25D70" w:rsidP="00E25D70">
      <w:pPr>
        <w:pStyle w:val="AERbodytext"/>
        <w:numPr>
          <w:ilvl w:val="0"/>
          <w:numId w:val="47"/>
        </w:numPr>
      </w:pPr>
      <w:r>
        <w:t>The AER approves an opening tax asset base of $371.5 million ($nominal) as at 1 January 2013. The tax asset base roll forward for the 2008–12 access arrangement period is set out in table 4.2.</w:t>
      </w:r>
    </w:p>
    <w:p w14:paraId="007BD5CC" w14:textId="77777777" w:rsidR="00E25D70" w:rsidRDefault="00E25D70" w:rsidP="00E25D70">
      <w:pPr>
        <w:pStyle w:val="Caption"/>
      </w:pPr>
      <w:r>
        <w:t>Table 4.2</w:t>
      </w:r>
      <w:r>
        <w:tab/>
        <w:t>AER's decision on Multinet's tax asset base roll forward for 2008–12 ($million, nominal)</w:t>
      </w:r>
    </w:p>
    <w:tbl>
      <w:tblPr>
        <w:tblStyle w:val="AERtable-numbers"/>
        <w:tblW w:w="0" w:type="auto"/>
        <w:tblLook w:val="04A0" w:firstRow="1" w:lastRow="0" w:firstColumn="1" w:lastColumn="0" w:noHBand="0" w:noVBand="1"/>
      </w:tblPr>
      <w:tblGrid>
        <w:gridCol w:w="2324"/>
        <w:gridCol w:w="1133"/>
        <w:gridCol w:w="1133"/>
        <w:gridCol w:w="1133"/>
        <w:gridCol w:w="1133"/>
        <w:gridCol w:w="1133"/>
      </w:tblGrid>
      <w:tr w:rsidR="00E25D70" w14:paraId="5EDAE811" w14:textId="77777777" w:rsidTr="00E25D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4" w:type="dxa"/>
            <w:tcBorders>
              <w:top w:val="nil"/>
              <w:left w:val="nil"/>
              <w:bottom w:val="nil"/>
              <w:right w:val="nil"/>
            </w:tcBorders>
          </w:tcPr>
          <w:p w14:paraId="29C5932E" w14:textId="77777777" w:rsidR="00E25D70" w:rsidRDefault="00E25D70"/>
        </w:tc>
        <w:tc>
          <w:tcPr>
            <w:tcW w:w="1133" w:type="dxa"/>
            <w:tcBorders>
              <w:top w:val="nil"/>
              <w:left w:val="nil"/>
              <w:bottom w:val="nil"/>
              <w:right w:val="nil"/>
            </w:tcBorders>
            <w:hideMark/>
          </w:tcPr>
          <w:p w14:paraId="1BAC1BAA" w14:textId="77777777" w:rsidR="00E25D70" w:rsidRDefault="00E25D70">
            <w:pPr>
              <w:jc w:val="right"/>
              <w:cnfStyle w:val="100000000000" w:firstRow="1" w:lastRow="0" w:firstColumn="0" w:lastColumn="0" w:oddVBand="0" w:evenVBand="0" w:oddHBand="0" w:evenHBand="0" w:firstRowFirstColumn="0" w:firstRowLastColumn="0" w:lastRowFirstColumn="0" w:lastRowLastColumn="0"/>
            </w:pPr>
            <w:r>
              <w:t>2008</w:t>
            </w:r>
          </w:p>
        </w:tc>
        <w:tc>
          <w:tcPr>
            <w:tcW w:w="1133" w:type="dxa"/>
            <w:tcBorders>
              <w:top w:val="nil"/>
              <w:left w:val="nil"/>
              <w:bottom w:val="nil"/>
              <w:right w:val="nil"/>
            </w:tcBorders>
            <w:hideMark/>
          </w:tcPr>
          <w:p w14:paraId="34AE0078" w14:textId="77777777" w:rsidR="00E25D70" w:rsidRDefault="00E25D70">
            <w:pPr>
              <w:jc w:val="right"/>
              <w:cnfStyle w:val="100000000000" w:firstRow="1" w:lastRow="0" w:firstColumn="0" w:lastColumn="0" w:oddVBand="0" w:evenVBand="0" w:oddHBand="0" w:evenHBand="0" w:firstRowFirstColumn="0" w:firstRowLastColumn="0" w:lastRowFirstColumn="0" w:lastRowLastColumn="0"/>
            </w:pPr>
            <w:r>
              <w:t>2009</w:t>
            </w:r>
          </w:p>
        </w:tc>
        <w:tc>
          <w:tcPr>
            <w:tcW w:w="1133" w:type="dxa"/>
            <w:tcBorders>
              <w:top w:val="nil"/>
              <w:left w:val="nil"/>
              <w:bottom w:val="nil"/>
              <w:right w:val="nil"/>
            </w:tcBorders>
            <w:hideMark/>
          </w:tcPr>
          <w:p w14:paraId="1254C42A" w14:textId="77777777" w:rsidR="00E25D70" w:rsidRDefault="00E25D70">
            <w:pPr>
              <w:jc w:val="right"/>
              <w:cnfStyle w:val="100000000000" w:firstRow="1" w:lastRow="0" w:firstColumn="0" w:lastColumn="0" w:oddVBand="0" w:evenVBand="0" w:oddHBand="0" w:evenHBand="0" w:firstRowFirstColumn="0" w:firstRowLastColumn="0" w:lastRowFirstColumn="0" w:lastRowLastColumn="0"/>
            </w:pPr>
            <w:r>
              <w:t>2010</w:t>
            </w:r>
          </w:p>
        </w:tc>
        <w:tc>
          <w:tcPr>
            <w:tcW w:w="1133" w:type="dxa"/>
            <w:tcBorders>
              <w:top w:val="nil"/>
              <w:left w:val="nil"/>
              <w:bottom w:val="nil"/>
              <w:right w:val="nil"/>
            </w:tcBorders>
            <w:hideMark/>
          </w:tcPr>
          <w:p w14:paraId="58F642CE" w14:textId="77777777" w:rsidR="00E25D70" w:rsidRDefault="00E25D70">
            <w:pPr>
              <w:jc w:val="right"/>
              <w:cnfStyle w:val="100000000000" w:firstRow="1" w:lastRow="0" w:firstColumn="0" w:lastColumn="0" w:oddVBand="0" w:evenVBand="0" w:oddHBand="0" w:evenHBand="0" w:firstRowFirstColumn="0" w:firstRowLastColumn="0" w:lastRowFirstColumn="0" w:lastRowLastColumn="0"/>
            </w:pPr>
            <w:r>
              <w:t>2011</w:t>
            </w:r>
          </w:p>
        </w:tc>
        <w:tc>
          <w:tcPr>
            <w:tcW w:w="1133" w:type="dxa"/>
            <w:tcBorders>
              <w:top w:val="nil"/>
              <w:left w:val="nil"/>
              <w:bottom w:val="nil"/>
              <w:right w:val="nil"/>
            </w:tcBorders>
            <w:hideMark/>
          </w:tcPr>
          <w:p w14:paraId="7A6DBC3A" w14:textId="77777777" w:rsidR="00E25D70" w:rsidRDefault="00E25D70">
            <w:pPr>
              <w:jc w:val="right"/>
              <w:cnfStyle w:val="100000000000" w:firstRow="1" w:lastRow="0" w:firstColumn="0" w:lastColumn="0" w:oddVBand="0" w:evenVBand="0" w:oddHBand="0" w:evenHBand="0" w:firstRowFirstColumn="0" w:firstRowLastColumn="0" w:lastRowFirstColumn="0" w:lastRowLastColumn="0"/>
            </w:pPr>
            <w:r>
              <w:t>2012</w:t>
            </w:r>
          </w:p>
        </w:tc>
      </w:tr>
      <w:tr w:rsidR="00E25D70" w14:paraId="14BB64EA" w14:textId="77777777" w:rsidTr="00E25D70">
        <w:tc>
          <w:tcPr>
            <w:cnfStyle w:val="001000000000" w:firstRow="0" w:lastRow="0" w:firstColumn="1" w:lastColumn="0" w:oddVBand="0" w:evenVBand="0" w:oddHBand="0" w:evenHBand="0" w:firstRowFirstColumn="0" w:firstRowLastColumn="0" w:lastRowFirstColumn="0" w:lastRowLastColumn="0"/>
            <w:tcW w:w="2324" w:type="dxa"/>
            <w:tcBorders>
              <w:top w:val="nil"/>
              <w:left w:val="nil"/>
              <w:bottom w:val="nil"/>
              <w:right w:val="nil"/>
            </w:tcBorders>
            <w:hideMark/>
          </w:tcPr>
          <w:p w14:paraId="0F05BCB4" w14:textId="77777777" w:rsidR="00E25D70" w:rsidRDefault="00E25D70">
            <w:r>
              <w:t>Opening tax asset base</w:t>
            </w:r>
          </w:p>
        </w:tc>
        <w:tc>
          <w:tcPr>
            <w:tcW w:w="1133" w:type="dxa"/>
            <w:tcBorders>
              <w:top w:val="nil"/>
              <w:left w:val="nil"/>
              <w:bottom w:val="nil"/>
              <w:right w:val="nil"/>
            </w:tcBorders>
            <w:hideMark/>
          </w:tcPr>
          <w:p w14:paraId="6A2507C6" w14:textId="77777777" w:rsidR="00E25D70" w:rsidRDefault="00E25D70">
            <w:pPr>
              <w:jc w:val="right"/>
              <w:cnfStyle w:val="000000000000" w:firstRow="0" w:lastRow="0" w:firstColumn="0" w:lastColumn="0" w:oddVBand="0" w:evenVBand="0" w:oddHBand="0" w:evenHBand="0" w:firstRowFirstColumn="0" w:firstRowLastColumn="0" w:lastRowFirstColumn="0" w:lastRowLastColumn="0"/>
            </w:pPr>
            <w:r>
              <w:t>299.0</w:t>
            </w:r>
          </w:p>
        </w:tc>
        <w:tc>
          <w:tcPr>
            <w:tcW w:w="1133" w:type="dxa"/>
            <w:tcBorders>
              <w:top w:val="nil"/>
              <w:left w:val="nil"/>
              <w:bottom w:val="nil"/>
              <w:right w:val="nil"/>
            </w:tcBorders>
            <w:hideMark/>
          </w:tcPr>
          <w:p w14:paraId="29A83496" w14:textId="77777777" w:rsidR="00E25D70" w:rsidRDefault="00E25D70">
            <w:pPr>
              <w:jc w:val="right"/>
              <w:cnfStyle w:val="000000000000" w:firstRow="0" w:lastRow="0" w:firstColumn="0" w:lastColumn="0" w:oddVBand="0" w:evenVBand="0" w:oddHBand="0" w:evenHBand="0" w:firstRowFirstColumn="0" w:firstRowLastColumn="0" w:lastRowFirstColumn="0" w:lastRowLastColumn="0"/>
            </w:pPr>
            <w:r>
              <w:t>301.7</w:t>
            </w:r>
          </w:p>
        </w:tc>
        <w:tc>
          <w:tcPr>
            <w:tcW w:w="1133" w:type="dxa"/>
            <w:tcBorders>
              <w:top w:val="nil"/>
              <w:left w:val="nil"/>
              <w:bottom w:val="nil"/>
              <w:right w:val="nil"/>
            </w:tcBorders>
            <w:hideMark/>
          </w:tcPr>
          <w:p w14:paraId="34F6296C" w14:textId="77777777" w:rsidR="00E25D70" w:rsidRDefault="00E25D70">
            <w:pPr>
              <w:jc w:val="right"/>
              <w:cnfStyle w:val="000000000000" w:firstRow="0" w:lastRow="0" w:firstColumn="0" w:lastColumn="0" w:oddVBand="0" w:evenVBand="0" w:oddHBand="0" w:evenHBand="0" w:firstRowFirstColumn="0" w:firstRowLastColumn="0" w:lastRowFirstColumn="0" w:lastRowLastColumn="0"/>
            </w:pPr>
            <w:r>
              <w:t>304.8</w:t>
            </w:r>
          </w:p>
        </w:tc>
        <w:tc>
          <w:tcPr>
            <w:tcW w:w="1133" w:type="dxa"/>
            <w:tcBorders>
              <w:top w:val="nil"/>
              <w:left w:val="nil"/>
              <w:bottom w:val="nil"/>
              <w:right w:val="nil"/>
            </w:tcBorders>
            <w:hideMark/>
          </w:tcPr>
          <w:p w14:paraId="629FE049" w14:textId="77777777" w:rsidR="00E25D70" w:rsidRDefault="00E25D70">
            <w:pPr>
              <w:jc w:val="right"/>
              <w:cnfStyle w:val="000000000000" w:firstRow="0" w:lastRow="0" w:firstColumn="0" w:lastColumn="0" w:oddVBand="0" w:evenVBand="0" w:oddHBand="0" w:evenHBand="0" w:firstRowFirstColumn="0" w:firstRowLastColumn="0" w:lastRowFirstColumn="0" w:lastRowLastColumn="0"/>
            </w:pPr>
            <w:r>
              <w:t>309.6</w:t>
            </w:r>
          </w:p>
        </w:tc>
        <w:tc>
          <w:tcPr>
            <w:tcW w:w="1133" w:type="dxa"/>
            <w:tcBorders>
              <w:top w:val="nil"/>
              <w:left w:val="nil"/>
              <w:bottom w:val="nil"/>
              <w:right w:val="nil"/>
            </w:tcBorders>
            <w:hideMark/>
          </w:tcPr>
          <w:p w14:paraId="2A6C385F" w14:textId="77777777" w:rsidR="00E25D70" w:rsidRDefault="00E25D70">
            <w:pPr>
              <w:jc w:val="right"/>
              <w:cnfStyle w:val="000000000000" w:firstRow="0" w:lastRow="0" w:firstColumn="0" w:lastColumn="0" w:oddVBand="0" w:evenVBand="0" w:oddHBand="0" w:evenHBand="0" w:firstRowFirstColumn="0" w:firstRowLastColumn="0" w:lastRowFirstColumn="0" w:lastRowLastColumn="0"/>
            </w:pPr>
            <w:r>
              <w:t>335.4</w:t>
            </w:r>
          </w:p>
        </w:tc>
      </w:tr>
      <w:tr w:rsidR="00E25D70" w14:paraId="1047BBDA" w14:textId="77777777" w:rsidTr="00E25D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4" w:type="dxa"/>
            <w:tcBorders>
              <w:top w:val="nil"/>
              <w:left w:val="nil"/>
              <w:bottom w:val="nil"/>
              <w:right w:val="nil"/>
            </w:tcBorders>
            <w:hideMark/>
          </w:tcPr>
          <w:p w14:paraId="741B14A9" w14:textId="77777777" w:rsidR="00E25D70" w:rsidRDefault="00E25D70">
            <w:r>
              <w:t>Tax additions</w:t>
            </w:r>
          </w:p>
        </w:tc>
        <w:tc>
          <w:tcPr>
            <w:tcW w:w="1133" w:type="dxa"/>
            <w:tcBorders>
              <w:top w:val="nil"/>
              <w:left w:val="nil"/>
              <w:bottom w:val="nil"/>
              <w:right w:val="nil"/>
            </w:tcBorders>
            <w:hideMark/>
          </w:tcPr>
          <w:p w14:paraId="4DF48550" w14:textId="77777777" w:rsidR="00E25D70" w:rsidRDefault="00E25D70">
            <w:pPr>
              <w:jc w:val="right"/>
              <w:cnfStyle w:val="000000010000" w:firstRow="0" w:lastRow="0" w:firstColumn="0" w:lastColumn="0" w:oddVBand="0" w:evenVBand="0" w:oddHBand="0" w:evenHBand="1" w:firstRowFirstColumn="0" w:firstRowLastColumn="0" w:lastRowFirstColumn="0" w:lastRowLastColumn="0"/>
            </w:pPr>
            <w:r>
              <w:t>36.5</w:t>
            </w:r>
          </w:p>
        </w:tc>
        <w:tc>
          <w:tcPr>
            <w:tcW w:w="1133" w:type="dxa"/>
            <w:tcBorders>
              <w:top w:val="nil"/>
              <w:left w:val="nil"/>
              <w:bottom w:val="nil"/>
              <w:right w:val="nil"/>
            </w:tcBorders>
            <w:hideMark/>
          </w:tcPr>
          <w:p w14:paraId="38AB39E3" w14:textId="77777777" w:rsidR="00E25D70" w:rsidRDefault="00E25D70">
            <w:pPr>
              <w:jc w:val="right"/>
              <w:cnfStyle w:val="000000010000" w:firstRow="0" w:lastRow="0" w:firstColumn="0" w:lastColumn="0" w:oddVBand="0" w:evenVBand="0" w:oddHBand="0" w:evenHBand="1" w:firstRowFirstColumn="0" w:firstRowLastColumn="0" w:lastRowFirstColumn="0" w:lastRowLastColumn="0"/>
            </w:pPr>
            <w:r>
              <w:t>36.3</w:t>
            </w:r>
          </w:p>
        </w:tc>
        <w:tc>
          <w:tcPr>
            <w:tcW w:w="1133" w:type="dxa"/>
            <w:tcBorders>
              <w:top w:val="nil"/>
              <w:left w:val="nil"/>
              <w:bottom w:val="nil"/>
              <w:right w:val="nil"/>
            </w:tcBorders>
            <w:hideMark/>
          </w:tcPr>
          <w:p w14:paraId="1BD87B8E" w14:textId="77777777" w:rsidR="00E25D70" w:rsidRDefault="00E25D70">
            <w:pPr>
              <w:jc w:val="right"/>
              <w:cnfStyle w:val="000000010000" w:firstRow="0" w:lastRow="0" w:firstColumn="0" w:lastColumn="0" w:oddVBand="0" w:evenVBand="0" w:oddHBand="0" w:evenHBand="1" w:firstRowFirstColumn="0" w:firstRowLastColumn="0" w:lastRowFirstColumn="0" w:lastRowLastColumn="0"/>
            </w:pPr>
            <w:r>
              <w:t>38.3</w:t>
            </w:r>
          </w:p>
        </w:tc>
        <w:tc>
          <w:tcPr>
            <w:tcW w:w="1133" w:type="dxa"/>
            <w:tcBorders>
              <w:top w:val="nil"/>
              <w:left w:val="nil"/>
              <w:bottom w:val="nil"/>
              <w:right w:val="nil"/>
            </w:tcBorders>
            <w:hideMark/>
          </w:tcPr>
          <w:p w14:paraId="5B08B201" w14:textId="77777777" w:rsidR="00E25D70" w:rsidRDefault="00E25D70">
            <w:pPr>
              <w:jc w:val="right"/>
              <w:cnfStyle w:val="000000010000" w:firstRow="0" w:lastRow="0" w:firstColumn="0" w:lastColumn="0" w:oddVBand="0" w:evenVBand="0" w:oddHBand="0" w:evenHBand="1" w:firstRowFirstColumn="0" w:firstRowLastColumn="0" w:lastRowFirstColumn="0" w:lastRowLastColumn="0"/>
            </w:pPr>
            <w:r>
              <w:t>62.3</w:t>
            </w:r>
          </w:p>
        </w:tc>
        <w:tc>
          <w:tcPr>
            <w:tcW w:w="1133" w:type="dxa"/>
            <w:tcBorders>
              <w:top w:val="nil"/>
              <w:left w:val="nil"/>
              <w:bottom w:val="nil"/>
              <w:right w:val="nil"/>
            </w:tcBorders>
            <w:hideMark/>
          </w:tcPr>
          <w:p w14:paraId="77A1ABC6" w14:textId="77777777" w:rsidR="00E25D70" w:rsidRDefault="00E25D70">
            <w:pPr>
              <w:jc w:val="right"/>
              <w:cnfStyle w:val="000000010000" w:firstRow="0" w:lastRow="0" w:firstColumn="0" w:lastColumn="0" w:oddVBand="0" w:evenVBand="0" w:oddHBand="0" w:evenHBand="1" w:firstRowFirstColumn="0" w:firstRowLastColumn="0" w:lastRowFirstColumn="0" w:lastRowLastColumn="0"/>
            </w:pPr>
            <w:r>
              <w:t>78.1</w:t>
            </w:r>
          </w:p>
        </w:tc>
      </w:tr>
      <w:tr w:rsidR="00E25D70" w14:paraId="0866993E" w14:textId="77777777" w:rsidTr="00E25D70">
        <w:tc>
          <w:tcPr>
            <w:cnfStyle w:val="001000000000" w:firstRow="0" w:lastRow="0" w:firstColumn="1" w:lastColumn="0" w:oddVBand="0" w:evenVBand="0" w:oddHBand="0" w:evenHBand="0" w:firstRowFirstColumn="0" w:firstRowLastColumn="0" w:lastRowFirstColumn="0" w:lastRowLastColumn="0"/>
            <w:tcW w:w="2324" w:type="dxa"/>
            <w:tcBorders>
              <w:top w:val="nil"/>
              <w:left w:val="nil"/>
              <w:bottom w:val="nil"/>
              <w:right w:val="nil"/>
            </w:tcBorders>
            <w:hideMark/>
          </w:tcPr>
          <w:p w14:paraId="2AFE437B" w14:textId="77777777" w:rsidR="00E25D70" w:rsidRDefault="00E25D70">
            <w:r>
              <w:lastRenderedPageBreak/>
              <w:t>Less: tax depreciation</w:t>
            </w:r>
          </w:p>
        </w:tc>
        <w:tc>
          <w:tcPr>
            <w:tcW w:w="1133" w:type="dxa"/>
            <w:tcBorders>
              <w:top w:val="nil"/>
              <w:left w:val="nil"/>
              <w:bottom w:val="nil"/>
              <w:right w:val="nil"/>
            </w:tcBorders>
            <w:hideMark/>
          </w:tcPr>
          <w:p w14:paraId="776FA2BE" w14:textId="77777777" w:rsidR="00E25D70" w:rsidRDefault="00E25D70">
            <w:pPr>
              <w:jc w:val="right"/>
              <w:cnfStyle w:val="000000000000" w:firstRow="0" w:lastRow="0" w:firstColumn="0" w:lastColumn="0" w:oddVBand="0" w:evenVBand="0" w:oddHBand="0" w:evenHBand="0" w:firstRowFirstColumn="0" w:firstRowLastColumn="0" w:lastRowFirstColumn="0" w:lastRowLastColumn="0"/>
            </w:pPr>
            <w:r>
              <w:t>33.8</w:t>
            </w:r>
          </w:p>
        </w:tc>
        <w:tc>
          <w:tcPr>
            <w:tcW w:w="1133" w:type="dxa"/>
            <w:tcBorders>
              <w:top w:val="nil"/>
              <w:left w:val="nil"/>
              <w:bottom w:val="nil"/>
              <w:right w:val="nil"/>
            </w:tcBorders>
            <w:hideMark/>
          </w:tcPr>
          <w:p w14:paraId="10C343CB" w14:textId="77777777" w:rsidR="00E25D70" w:rsidRDefault="00E25D70">
            <w:pPr>
              <w:jc w:val="right"/>
              <w:cnfStyle w:val="000000000000" w:firstRow="0" w:lastRow="0" w:firstColumn="0" w:lastColumn="0" w:oddVBand="0" w:evenVBand="0" w:oddHBand="0" w:evenHBand="0" w:firstRowFirstColumn="0" w:firstRowLastColumn="0" w:lastRowFirstColumn="0" w:lastRowLastColumn="0"/>
            </w:pPr>
            <w:r>
              <w:t>33.2</w:t>
            </w:r>
          </w:p>
        </w:tc>
        <w:tc>
          <w:tcPr>
            <w:tcW w:w="1133" w:type="dxa"/>
            <w:tcBorders>
              <w:top w:val="nil"/>
              <w:left w:val="nil"/>
              <w:bottom w:val="nil"/>
              <w:right w:val="nil"/>
            </w:tcBorders>
            <w:hideMark/>
          </w:tcPr>
          <w:p w14:paraId="2E0C8476" w14:textId="77777777" w:rsidR="00E25D70" w:rsidRDefault="00E25D70">
            <w:pPr>
              <w:jc w:val="right"/>
              <w:cnfStyle w:val="000000000000" w:firstRow="0" w:lastRow="0" w:firstColumn="0" w:lastColumn="0" w:oddVBand="0" w:evenVBand="0" w:oddHBand="0" w:evenHBand="0" w:firstRowFirstColumn="0" w:firstRowLastColumn="0" w:lastRowFirstColumn="0" w:lastRowLastColumn="0"/>
            </w:pPr>
            <w:r>
              <w:t>33.5</w:t>
            </w:r>
          </w:p>
        </w:tc>
        <w:tc>
          <w:tcPr>
            <w:tcW w:w="1133" w:type="dxa"/>
            <w:tcBorders>
              <w:top w:val="nil"/>
              <w:left w:val="nil"/>
              <w:bottom w:val="nil"/>
              <w:right w:val="nil"/>
            </w:tcBorders>
            <w:hideMark/>
          </w:tcPr>
          <w:p w14:paraId="314261CF" w14:textId="77777777" w:rsidR="00E25D70" w:rsidRDefault="00E25D70">
            <w:pPr>
              <w:jc w:val="right"/>
              <w:cnfStyle w:val="000000000000" w:firstRow="0" w:lastRow="0" w:firstColumn="0" w:lastColumn="0" w:oddVBand="0" w:evenVBand="0" w:oddHBand="0" w:evenHBand="0" w:firstRowFirstColumn="0" w:firstRowLastColumn="0" w:lastRowFirstColumn="0" w:lastRowLastColumn="0"/>
            </w:pPr>
            <w:r>
              <w:t>36.5</w:t>
            </w:r>
          </w:p>
        </w:tc>
        <w:tc>
          <w:tcPr>
            <w:tcW w:w="1133" w:type="dxa"/>
            <w:tcBorders>
              <w:top w:val="nil"/>
              <w:left w:val="nil"/>
              <w:bottom w:val="nil"/>
              <w:right w:val="nil"/>
            </w:tcBorders>
            <w:hideMark/>
          </w:tcPr>
          <w:p w14:paraId="5AAF0BDA" w14:textId="77777777" w:rsidR="00E25D70" w:rsidRDefault="00E25D70">
            <w:pPr>
              <w:jc w:val="right"/>
              <w:cnfStyle w:val="000000000000" w:firstRow="0" w:lastRow="0" w:firstColumn="0" w:lastColumn="0" w:oddVBand="0" w:evenVBand="0" w:oddHBand="0" w:evenHBand="0" w:firstRowFirstColumn="0" w:firstRowLastColumn="0" w:lastRowFirstColumn="0" w:lastRowLastColumn="0"/>
            </w:pPr>
            <w:r>
              <w:t>42.1</w:t>
            </w:r>
          </w:p>
        </w:tc>
      </w:tr>
      <w:tr w:rsidR="00E25D70" w14:paraId="797BA61B" w14:textId="77777777" w:rsidTr="00E25D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4" w:type="dxa"/>
            <w:tcBorders>
              <w:top w:val="nil"/>
              <w:left w:val="nil"/>
              <w:bottom w:val="single" w:sz="4" w:space="0" w:color="365F91"/>
              <w:right w:val="nil"/>
            </w:tcBorders>
            <w:hideMark/>
          </w:tcPr>
          <w:p w14:paraId="63119A57" w14:textId="77777777" w:rsidR="00E25D70" w:rsidRDefault="00E25D70">
            <w:r>
              <w:t>Closing tax asset base</w:t>
            </w:r>
          </w:p>
        </w:tc>
        <w:tc>
          <w:tcPr>
            <w:tcW w:w="1133" w:type="dxa"/>
            <w:tcBorders>
              <w:top w:val="nil"/>
              <w:left w:val="nil"/>
              <w:bottom w:val="single" w:sz="4" w:space="0" w:color="365F91"/>
              <w:right w:val="nil"/>
            </w:tcBorders>
            <w:hideMark/>
          </w:tcPr>
          <w:p w14:paraId="355AEC00" w14:textId="77777777" w:rsidR="00E25D70" w:rsidRDefault="00E25D70">
            <w:pPr>
              <w:jc w:val="right"/>
              <w:cnfStyle w:val="000000010000" w:firstRow="0" w:lastRow="0" w:firstColumn="0" w:lastColumn="0" w:oddVBand="0" w:evenVBand="0" w:oddHBand="0" w:evenHBand="1" w:firstRowFirstColumn="0" w:firstRowLastColumn="0" w:lastRowFirstColumn="0" w:lastRowLastColumn="0"/>
            </w:pPr>
            <w:r>
              <w:t>301.7</w:t>
            </w:r>
          </w:p>
        </w:tc>
        <w:tc>
          <w:tcPr>
            <w:tcW w:w="1133" w:type="dxa"/>
            <w:tcBorders>
              <w:top w:val="nil"/>
              <w:left w:val="nil"/>
              <w:bottom w:val="single" w:sz="4" w:space="0" w:color="365F91"/>
              <w:right w:val="nil"/>
            </w:tcBorders>
            <w:hideMark/>
          </w:tcPr>
          <w:p w14:paraId="7C1C8128" w14:textId="77777777" w:rsidR="00E25D70" w:rsidRDefault="00E25D70">
            <w:pPr>
              <w:jc w:val="right"/>
              <w:cnfStyle w:val="000000010000" w:firstRow="0" w:lastRow="0" w:firstColumn="0" w:lastColumn="0" w:oddVBand="0" w:evenVBand="0" w:oddHBand="0" w:evenHBand="1" w:firstRowFirstColumn="0" w:firstRowLastColumn="0" w:lastRowFirstColumn="0" w:lastRowLastColumn="0"/>
            </w:pPr>
            <w:r>
              <w:t>304.8</w:t>
            </w:r>
          </w:p>
        </w:tc>
        <w:tc>
          <w:tcPr>
            <w:tcW w:w="1133" w:type="dxa"/>
            <w:tcBorders>
              <w:top w:val="nil"/>
              <w:left w:val="nil"/>
              <w:bottom w:val="single" w:sz="4" w:space="0" w:color="365F91"/>
              <w:right w:val="nil"/>
            </w:tcBorders>
            <w:hideMark/>
          </w:tcPr>
          <w:p w14:paraId="6C93CE78" w14:textId="77777777" w:rsidR="00E25D70" w:rsidRDefault="00E25D70">
            <w:pPr>
              <w:jc w:val="right"/>
              <w:cnfStyle w:val="000000010000" w:firstRow="0" w:lastRow="0" w:firstColumn="0" w:lastColumn="0" w:oddVBand="0" w:evenVBand="0" w:oddHBand="0" w:evenHBand="1" w:firstRowFirstColumn="0" w:firstRowLastColumn="0" w:lastRowFirstColumn="0" w:lastRowLastColumn="0"/>
            </w:pPr>
            <w:r>
              <w:t>309.6</w:t>
            </w:r>
          </w:p>
        </w:tc>
        <w:tc>
          <w:tcPr>
            <w:tcW w:w="1133" w:type="dxa"/>
            <w:tcBorders>
              <w:top w:val="nil"/>
              <w:left w:val="nil"/>
              <w:bottom w:val="single" w:sz="4" w:space="0" w:color="365F91"/>
              <w:right w:val="nil"/>
            </w:tcBorders>
            <w:hideMark/>
          </w:tcPr>
          <w:p w14:paraId="7D64C401" w14:textId="77777777" w:rsidR="00E25D70" w:rsidRDefault="00E25D70">
            <w:pPr>
              <w:jc w:val="right"/>
              <w:cnfStyle w:val="000000010000" w:firstRow="0" w:lastRow="0" w:firstColumn="0" w:lastColumn="0" w:oddVBand="0" w:evenVBand="0" w:oddHBand="0" w:evenHBand="1" w:firstRowFirstColumn="0" w:firstRowLastColumn="0" w:lastRowFirstColumn="0" w:lastRowLastColumn="0"/>
            </w:pPr>
            <w:r>
              <w:t>335.4</w:t>
            </w:r>
          </w:p>
        </w:tc>
        <w:tc>
          <w:tcPr>
            <w:tcW w:w="1133" w:type="dxa"/>
            <w:tcBorders>
              <w:top w:val="nil"/>
              <w:left w:val="nil"/>
              <w:bottom w:val="single" w:sz="4" w:space="0" w:color="365F91"/>
              <w:right w:val="nil"/>
            </w:tcBorders>
            <w:hideMark/>
          </w:tcPr>
          <w:p w14:paraId="1DC068A8" w14:textId="77777777" w:rsidR="00E25D70" w:rsidRDefault="00E25D70">
            <w:pPr>
              <w:jc w:val="right"/>
              <w:cnfStyle w:val="000000010000" w:firstRow="0" w:lastRow="0" w:firstColumn="0" w:lastColumn="0" w:oddVBand="0" w:evenVBand="0" w:oddHBand="0" w:evenHBand="1" w:firstRowFirstColumn="0" w:firstRowLastColumn="0" w:lastRowFirstColumn="0" w:lastRowLastColumn="0"/>
            </w:pPr>
            <w:r>
              <w:t>371.5</w:t>
            </w:r>
          </w:p>
        </w:tc>
      </w:tr>
    </w:tbl>
    <w:p w14:paraId="17A0590A" w14:textId="77777777" w:rsidR="00E25D70" w:rsidRDefault="00E25D70" w:rsidP="00E25D70">
      <w:pPr>
        <w:pStyle w:val="AERtablesource"/>
        <w:ind w:left="0" w:firstLine="0"/>
      </w:pPr>
      <w:r>
        <w:t>Source:</w:t>
      </w:r>
      <w:r>
        <w:tab/>
        <w:t>AER analysis.</w:t>
      </w:r>
    </w:p>
    <w:p w14:paraId="7D849897" w14:textId="77777777" w:rsidR="00E25D70" w:rsidRDefault="00E25D70" w:rsidP="00E25D70">
      <w:pPr>
        <w:pStyle w:val="AERtablesource"/>
      </w:pPr>
      <w:r>
        <w:t xml:space="preserve">Note: </w:t>
      </w:r>
      <w:r>
        <w:tab/>
        <w:t>Totals may not add due to rounding.</w:t>
      </w:r>
    </w:p>
    <w:p w14:paraId="62DECF64" w14:textId="77777777" w:rsidR="00E25D70" w:rsidRDefault="00E25D70" w:rsidP="00E25D70">
      <w:pPr>
        <w:pStyle w:val="AERbodytext"/>
        <w:numPr>
          <w:ilvl w:val="0"/>
          <w:numId w:val="47"/>
        </w:numPr>
      </w:pPr>
      <w:r>
        <w:t>The AER’s adjustment to increase to the opening tax asset base also results in an increase to the projected capital base for the 2013–17 access arrangement period. The AER has determined a projected closing tax asset base of $411.9 million ($nominal) as at 31 December 2017 and this is set out in table 4.3.</w:t>
      </w:r>
    </w:p>
    <w:p w14:paraId="18C716F5" w14:textId="77777777" w:rsidR="00E25D70" w:rsidRDefault="00E25D70" w:rsidP="00E25D70">
      <w:pPr>
        <w:pStyle w:val="Caption"/>
      </w:pPr>
      <w:r>
        <w:t>Table 4.3</w:t>
      </w:r>
      <w:r>
        <w:tab/>
        <w:t>AER's decision on Multinet's projected tax asset base roll forward for 2013–17 access arrangement period ($million, nominal)</w:t>
      </w:r>
    </w:p>
    <w:tbl>
      <w:tblPr>
        <w:tblStyle w:val="AERtable-numbers"/>
        <w:tblW w:w="0" w:type="auto"/>
        <w:tblLook w:val="04A0" w:firstRow="1" w:lastRow="0" w:firstColumn="1" w:lastColumn="0" w:noHBand="0" w:noVBand="1"/>
      </w:tblPr>
      <w:tblGrid>
        <w:gridCol w:w="2324"/>
        <w:gridCol w:w="1133"/>
        <w:gridCol w:w="1133"/>
        <w:gridCol w:w="1133"/>
        <w:gridCol w:w="1133"/>
        <w:gridCol w:w="1133"/>
      </w:tblGrid>
      <w:tr w:rsidR="00E25D70" w14:paraId="39E23C87" w14:textId="77777777" w:rsidTr="00E25D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4" w:type="dxa"/>
            <w:tcBorders>
              <w:top w:val="nil"/>
              <w:left w:val="nil"/>
              <w:bottom w:val="nil"/>
              <w:right w:val="nil"/>
            </w:tcBorders>
          </w:tcPr>
          <w:p w14:paraId="28C87080" w14:textId="77777777" w:rsidR="00E25D70" w:rsidRDefault="00E25D70"/>
        </w:tc>
        <w:tc>
          <w:tcPr>
            <w:tcW w:w="1133" w:type="dxa"/>
            <w:tcBorders>
              <w:top w:val="nil"/>
              <w:left w:val="nil"/>
              <w:bottom w:val="nil"/>
              <w:right w:val="nil"/>
            </w:tcBorders>
            <w:hideMark/>
          </w:tcPr>
          <w:p w14:paraId="2C909A85" w14:textId="77777777" w:rsidR="00E25D70" w:rsidRDefault="00E25D70">
            <w:pPr>
              <w:jc w:val="right"/>
              <w:cnfStyle w:val="100000000000" w:firstRow="1" w:lastRow="0" w:firstColumn="0" w:lastColumn="0" w:oddVBand="0" w:evenVBand="0" w:oddHBand="0" w:evenHBand="0" w:firstRowFirstColumn="0" w:firstRowLastColumn="0" w:lastRowFirstColumn="0" w:lastRowLastColumn="0"/>
            </w:pPr>
            <w:r>
              <w:t>2013</w:t>
            </w:r>
          </w:p>
        </w:tc>
        <w:tc>
          <w:tcPr>
            <w:tcW w:w="1133" w:type="dxa"/>
            <w:tcBorders>
              <w:top w:val="nil"/>
              <w:left w:val="nil"/>
              <w:bottom w:val="nil"/>
              <w:right w:val="nil"/>
            </w:tcBorders>
            <w:hideMark/>
          </w:tcPr>
          <w:p w14:paraId="4284A6C0" w14:textId="77777777" w:rsidR="00E25D70" w:rsidRDefault="00E25D70">
            <w:pPr>
              <w:jc w:val="right"/>
              <w:cnfStyle w:val="100000000000" w:firstRow="1" w:lastRow="0" w:firstColumn="0" w:lastColumn="0" w:oddVBand="0" w:evenVBand="0" w:oddHBand="0" w:evenHBand="0" w:firstRowFirstColumn="0" w:firstRowLastColumn="0" w:lastRowFirstColumn="0" w:lastRowLastColumn="0"/>
            </w:pPr>
            <w:r>
              <w:t>2014</w:t>
            </w:r>
          </w:p>
        </w:tc>
        <w:tc>
          <w:tcPr>
            <w:tcW w:w="1133" w:type="dxa"/>
            <w:tcBorders>
              <w:top w:val="nil"/>
              <w:left w:val="nil"/>
              <w:bottom w:val="nil"/>
              <w:right w:val="nil"/>
            </w:tcBorders>
            <w:hideMark/>
          </w:tcPr>
          <w:p w14:paraId="75FDE3B2" w14:textId="77777777" w:rsidR="00E25D70" w:rsidRDefault="00E25D70">
            <w:pPr>
              <w:jc w:val="right"/>
              <w:cnfStyle w:val="100000000000" w:firstRow="1" w:lastRow="0" w:firstColumn="0" w:lastColumn="0" w:oddVBand="0" w:evenVBand="0" w:oddHBand="0" w:evenHBand="0" w:firstRowFirstColumn="0" w:firstRowLastColumn="0" w:lastRowFirstColumn="0" w:lastRowLastColumn="0"/>
            </w:pPr>
            <w:r>
              <w:t>2015</w:t>
            </w:r>
          </w:p>
        </w:tc>
        <w:tc>
          <w:tcPr>
            <w:tcW w:w="1133" w:type="dxa"/>
            <w:tcBorders>
              <w:top w:val="nil"/>
              <w:left w:val="nil"/>
              <w:bottom w:val="nil"/>
              <w:right w:val="nil"/>
            </w:tcBorders>
            <w:hideMark/>
          </w:tcPr>
          <w:p w14:paraId="28151C9A" w14:textId="77777777" w:rsidR="00E25D70" w:rsidRDefault="00E25D70">
            <w:pPr>
              <w:jc w:val="right"/>
              <w:cnfStyle w:val="100000000000" w:firstRow="1" w:lastRow="0" w:firstColumn="0" w:lastColumn="0" w:oddVBand="0" w:evenVBand="0" w:oddHBand="0" w:evenHBand="0" w:firstRowFirstColumn="0" w:firstRowLastColumn="0" w:lastRowFirstColumn="0" w:lastRowLastColumn="0"/>
            </w:pPr>
            <w:r>
              <w:t>2016</w:t>
            </w:r>
          </w:p>
        </w:tc>
        <w:tc>
          <w:tcPr>
            <w:tcW w:w="1133" w:type="dxa"/>
            <w:tcBorders>
              <w:top w:val="nil"/>
              <w:left w:val="nil"/>
              <w:bottom w:val="nil"/>
              <w:right w:val="nil"/>
            </w:tcBorders>
            <w:hideMark/>
          </w:tcPr>
          <w:p w14:paraId="4CF6FA04" w14:textId="77777777" w:rsidR="00E25D70" w:rsidRDefault="00E25D70">
            <w:pPr>
              <w:jc w:val="right"/>
              <w:cnfStyle w:val="100000000000" w:firstRow="1" w:lastRow="0" w:firstColumn="0" w:lastColumn="0" w:oddVBand="0" w:evenVBand="0" w:oddHBand="0" w:evenHBand="0" w:firstRowFirstColumn="0" w:firstRowLastColumn="0" w:lastRowFirstColumn="0" w:lastRowLastColumn="0"/>
            </w:pPr>
            <w:r>
              <w:t>2017</w:t>
            </w:r>
          </w:p>
        </w:tc>
      </w:tr>
      <w:tr w:rsidR="00E25D70" w14:paraId="4737F98E" w14:textId="77777777" w:rsidTr="00E25D70">
        <w:tc>
          <w:tcPr>
            <w:cnfStyle w:val="001000000000" w:firstRow="0" w:lastRow="0" w:firstColumn="1" w:lastColumn="0" w:oddVBand="0" w:evenVBand="0" w:oddHBand="0" w:evenHBand="0" w:firstRowFirstColumn="0" w:firstRowLastColumn="0" w:lastRowFirstColumn="0" w:lastRowLastColumn="0"/>
            <w:tcW w:w="2324" w:type="dxa"/>
            <w:tcBorders>
              <w:top w:val="nil"/>
              <w:left w:val="nil"/>
              <w:bottom w:val="nil"/>
              <w:right w:val="nil"/>
            </w:tcBorders>
            <w:hideMark/>
          </w:tcPr>
          <w:p w14:paraId="3738CF0D" w14:textId="77777777" w:rsidR="00E25D70" w:rsidRDefault="00E25D70">
            <w:r>
              <w:t>Opening tax asset base</w:t>
            </w:r>
          </w:p>
        </w:tc>
        <w:tc>
          <w:tcPr>
            <w:tcW w:w="1133" w:type="dxa"/>
            <w:tcBorders>
              <w:top w:val="nil"/>
              <w:left w:val="nil"/>
              <w:bottom w:val="nil"/>
              <w:right w:val="nil"/>
            </w:tcBorders>
            <w:hideMark/>
          </w:tcPr>
          <w:p w14:paraId="196BEE8E" w14:textId="77777777" w:rsidR="00E25D70" w:rsidRDefault="00E25D70">
            <w:pPr>
              <w:jc w:val="right"/>
              <w:cnfStyle w:val="000000000000" w:firstRow="0" w:lastRow="0" w:firstColumn="0" w:lastColumn="0" w:oddVBand="0" w:evenVBand="0" w:oddHBand="0" w:evenHBand="0" w:firstRowFirstColumn="0" w:firstRowLastColumn="0" w:lastRowFirstColumn="0" w:lastRowLastColumn="0"/>
            </w:pPr>
            <w:r>
              <w:t>371.5</w:t>
            </w:r>
          </w:p>
        </w:tc>
        <w:tc>
          <w:tcPr>
            <w:tcW w:w="1133" w:type="dxa"/>
            <w:tcBorders>
              <w:top w:val="nil"/>
              <w:left w:val="nil"/>
              <w:bottom w:val="nil"/>
              <w:right w:val="nil"/>
            </w:tcBorders>
            <w:hideMark/>
          </w:tcPr>
          <w:p w14:paraId="5CAB8657" w14:textId="77777777" w:rsidR="00E25D70" w:rsidRDefault="00E25D70">
            <w:pPr>
              <w:jc w:val="right"/>
              <w:cnfStyle w:val="000000000000" w:firstRow="0" w:lastRow="0" w:firstColumn="0" w:lastColumn="0" w:oddVBand="0" w:evenVBand="0" w:oddHBand="0" w:evenHBand="0" w:firstRowFirstColumn="0" w:firstRowLastColumn="0" w:lastRowFirstColumn="0" w:lastRowLastColumn="0"/>
            </w:pPr>
            <w:r>
              <w:t>411.8</w:t>
            </w:r>
          </w:p>
        </w:tc>
        <w:tc>
          <w:tcPr>
            <w:tcW w:w="1133" w:type="dxa"/>
            <w:tcBorders>
              <w:top w:val="nil"/>
              <w:left w:val="nil"/>
              <w:bottom w:val="nil"/>
              <w:right w:val="nil"/>
            </w:tcBorders>
            <w:hideMark/>
          </w:tcPr>
          <w:p w14:paraId="3B4D9FC2" w14:textId="77777777" w:rsidR="00E25D70" w:rsidRDefault="00E25D70">
            <w:pPr>
              <w:jc w:val="right"/>
              <w:cnfStyle w:val="000000000000" w:firstRow="0" w:lastRow="0" w:firstColumn="0" w:lastColumn="0" w:oddVBand="0" w:evenVBand="0" w:oddHBand="0" w:evenHBand="0" w:firstRowFirstColumn="0" w:firstRowLastColumn="0" w:lastRowFirstColumn="0" w:lastRowLastColumn="0"/>
            </w:pPr>
            <w:r>
              <w:t>405.5</w:t>
            </w:r>
          </w:p>
        </w:tc>
        <w:tc>
          <w:tcPr>
            <w:tcW w:w="1133" w:type="dxa"/>
            <w:tcBorders>
              <w:top w:val="nil"/>
              <w:left w:val="nil"/>
              <w:bottom w:val="nil"/>
              <w:right w:val="nil"/>
            </w:tcBorders>
            <w:hideMark/>
          </w:tcPr>
          <w:p w14:paraId="2BF69B63" w14:textId="77777777" w:rsidR="00E25D70" w:rsidRDefault="00E25D70">
            <w:pPr>
              <w:jc w:val="right"/>
              <w:cnfStyle w:val="000000000000" w:firstRow="0" w:lastRow="0" w:firstColumn="0" w:lastColumn="0" w:oddVBand="0" w:evenVBand="0" w:oddHBand="0" w:evenHBand="0" w:firstRowFirstColumn="0" w:firstRowLastColumn="0" w:lastRowFirstColumn="0" w:lastRowLastColumn="0"/>
            </w:pPr>
            <w:r>
              <w:t>406.3</w:t>
            </w:r>
          </w:p>
        </w:tc>
        <w:tc>
          <w:tcPr>
            <w:tcW w:w="1133" w:type="dxa"/>
            <w:tcBorders>
              <w:top w:val="nil"/>
              <w:left w:val="nil"/>
              <w:bottom w:val="nil"/>
              <w:right w:val="nil"/>
            </w:tcBorders>
            <w:hideMark/>
          </w:tcPr>
          <w:p w14:paraId="2EB3EA80" w14:textId="77777777" w:rsidR="00E25D70" w:rsidRDefault="00E25D70">
            <w:pPr>
              <w:jc w:val="right"/>
              <w:cnfStyle w:val="000000000000" w:firstRow="0" w:lastRow="0" w:firstColumn="0" w:lastColumn="0" w:oddVBand="0" w:evenVBand="0" w:oddHBand="0" w:evenHBand="0" w:firstRowFirstColumn="0" w:firstRowLastColumn="0" w:lastRowFirstColumn="0" w:lastRowLastColumn="0"/>
            </w:pPr>
            <w:r>
              <w:t>423.7</w:t>
            </w:r>
          </w:p>
        </w:tc>
      </w:tr>
      <w:tr w:rsidR="00E25D70" w14:paraId="698290C4" w14:textId="77777777" w:rsidTr="00E25D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4" w:type="dxa"/>
            <w:tcBorders>
              <w:top w:val="nil"/>
              <w:left w:val="nil"/>
              <w:bottom w:val="nil"/>
              <w:right w:val="nil"/>
            </w:tcBorders>
            <w:hideMark/>
          </w:tcPr>
          <w:p w14:paraId="496D9A3F" w14:textId="77777777" w:rsidR="00E25D70" w:rsidRDefault="00E25D70">
            <w:r>
              <w:t>Tax additions</w:t>
            </w:r>
          </w:p>
        </w:tc>
        <w:tc>
          <w:tcPr>
            <w:tcW w:w="1133" w:type="dxa"/>
            <w:tcBorders>
              <w:top w:val="nil"/>
              <w:left w:val="nil"/>
              <w:bottom w:val="nil"/>
              <w:right w:val="nil"/>
            </w:tcBorders>
            <w:hideMark/>
          </w:tcPr>
          <w:p w14:paraId="0CC33EAD" w14:textId="77777777" w:rsidR="00E25D70" w:rsidRDefault="00E25D70">
            <w:pPr>
              <w:jc w:val="right"/>
              <w:cnfStyle w:val="000000010000" w:firstRow="0" w:lastRow="0" w:firstColumn="0" w:lastColumn="0" w:oddVBand="0" w:evenVBand="0" w:oddHBand="0" w:evenHBand="1" w:firstRowFirstColumn="0" w:firstRowLastColumn="0" w:lastRowFirstColumn="0" w:lastRowLastColumn="0"/>
            </w:pPr>
            <w:r>
              <w:t>88.3</w:t>
            </w:r>
          </w:p>
        </w:tc>
        <w:tc>
          <w:tcPr>
            <w:tcW w:w="1133" w:type="dxa"/>
            <w:tcBorders>
              <w:top w:val="nil"/>
              <w:left w:val="nil"/>
              <w:bottom w:val="nil"/>
              <w:right w:val="nil"/>
            </w:tcBorders>
            <w:hideMark/>
          </w:tcPr>
          <w:p w14:paraId="394839E1" w14:textId="77777777" w:rsidR="00E25D70" w:rsidRDefault="00E25D70">
            <w:pPr>
              <w:jc w:val="right"/>
              <w:cnfStyle w:val="000000010000" w:firstRow="0" w:lastRow="0" w:firstColumn="0" w:lastColumn="0" w:oddVBand="0" w:evenVBand="0" w:oddHBand="0" w:evenHBand="1" w:firstRowFirstColumn="0" w:firstRowLastColumn="0" w:lastRowFirstColumn="0" w:lastRowLastColumn="0"/>
            </w:pPr>
            <w:r>
              <w:t>43.8</w:t>
            </w:r>
          </w:p>
        </w:tc>
        <w:tc>
          <w:tcPr>
            <w:tcW w:w="1133" w:type="dxa"/>
            <w:tcBorders>
              <w:top w:val="nil"/>
              <w:left w:val="nil"/>
              <w:bottom w:val="nil"/>
              <w:right w:val="nil"/>
            </w:tcBorders>
            <w:hideMark/>
          </w:tcPr>
          <w:p w14:paraId="22E14E12" w14:textId="77777777" w:rsidR="00E25D70" w:rsidRDefault="00E25D70">
            <w:pPr>
              <w:jc w:val="right"/>
              <w:cnfStyle w:val="000000010000" w:firstRow="0" w:lastRow="0" w:firstColumn="0" w:lastColumn="0" w:oddVBand="0" w:evenVBand="0" w:oddHBand="0" w:evenHBand="1" w:firstRowFirstColumn="0" w:firstRowLastColumn="0" w:lastRowFirstColumn="0" w:lastRowLastColumn="0"/>
            </w:pPr>
            <w:r>
              <w:t>49.6</w:t>
            </w:r>
          </w:p>
        </w:tc>
        <w:tc>
          <w:tcPr>
            <w:tcW w:w="1133" w:type="dxa"/>
            <w:tcBorders>
              <w:top w:val="nil"/>
              <w:left w:val="nil"/>
              <w:bottom w:val="nil"/>
              <w:right w:val="nil"/>
            </w:tcBorders>
            <w:hideMark/>
          </w:tcPr>
          <w:p w14:paraId="387CE081" w14:textId="77777777" w:rsidR="00E25D70" w:rsidRDefault="00E25D70">
            <w:pPr>
              <w:jc w:val="right"/>
              <w:cnfStyle w:val="000000010000" w:firstRow="0" w:lastRow="0" w:firstColumn="0" w:lastColumn="0" w:oddVBand="0" w:evenVBand="0" w:oddHBand="0" w:evenHBand="1" w:firstRowFirstColumn="0" w:firstRowLastColumn="0" w:lastRowFirstColumn="0" w:lastRowLastColumn="0"/>
            </w:pPr>
            <w:r>
              <w:t>66.5</w:t>
            </w:r>
          </w:p>
        </w:tc>
        <w:tc>
          <w:tcPr>
            <w:tcW w:w="1133" w:type="dxa"/>
            <w:tcBorders>
              <w:top w:val="nil"/>
              <w:left w:val="nil"/>
              <w:bottom w:val="nil"/>
              <w:right w:val="nil"/>
            </w:tcBorders>
            <w:hideMark/>
          </w:tcPr>
          <w:p w14:paraId="29BD9825" w14:textId="77777777" w:rsidR="00E25D70" w:rsidRDefault="00E25D70">
            <w:pPr>
              <w:jc w:val="right"/>
              <w:cnfStyle w:val="000000010000" w:firstRow="0" w:lastRow="0" w:firstColumn="0" w:lastColumn="0" w:oddVBand="0" w:evenVBand="0" w:oddHBand="0" w:evenHBand="1" w:firstRowFirstColumn="0" w:firstRowLastColumn="0" w:lastRowFirstColumn="0" w:lastRowLastColumn="0"/>
            </w:pPr>
            <w:r>
              <w:t>36.7</w:t>
            </w:r>
          </w:p>
        </w:tc>
      </w:tr>
      <w:tr w:rsidR="00E25D70" w14:paraId="0842CE6F" w14:textId="77777777" w:rsidTr="00E25D70">
        <w:tc>
          <w:tcPr>
            <w:cnfStyle w:val="001000000000" w:firstRow="0" w:lastRow="0" w:firstColumn="1" w:lastColumn="0" w:oddVBand="0" w:evenVBand="0" w:oddHBand="0" w:evenHBand="0" w:firstRowFirstColumn="0" w:firstRowLastColumn="0" w:lastRowFirstColumn="0" w:lastRowLastColumn="0"/>
            <w:tcW w:w="2324" w:type="dxa"/>
            <w:tcBorders>
              <w:top w:val="nil"/>
              <w:left w:val="nil"/>
              <w:bottom w:val="nil"/>
              <w:right w:val="nil"/>
            </w:tcBorders>
            <w:hideMark/>
          </w:tcPr>
          <w:p w14:paraId="50F89A6D" w14:textId="77777777" w:rsidR="00E25D70" w:rsidRDefault="00E25D70">
            <w:r>
              <w:t>Less: tax depreciation</w:t>
            </w:r>
          </w:p>
        </w:tc>
        <w:tc>
          <w:tcPr>
            <w:tcW w:w="1133" w:type="dxa"/>
            <w:tcBorders>
              <w:top w:val="nil"/>
              <w:left w:val="nil"/>
              <w:bottom w:val="nil"/>
              <w:right w:val="nil"/>
            </w:tcBorders>
            <w:hideMark/>
          </w:tcPr>
          <w:p w14:paraId="6C491EA9" w14:textId="77777777" w:rsidR="00E25D70" w:rsidRDefault="00E25D70">
            <w:pPr>
              <w:jc w:val="right"/>
              <w:cnfStyle w:val="000000000000" w:firstRow="0" w:lastRow="0" w:firstColumn="0" w:lastColumn="0" w:oddVBand="0" w:evenVBand="0" w:oddHBand="0" w:evenHBand="0" w:firstRowFirstColumn="0" w:firstRowLastColumn="0" w:lastRowFirstColumn="0" w:lastRowLastColumn="0"/>
            </w:pPr>
            <w:r>
              <w:t>48.0</w:t>
            </w:r>
          </w:p>
        </w:tc>
        <w:tc>
          <w:tcPr>
            <w:tcW w:w="1133" w:type="dxa"/>
            <w:tcBorders>
              <w:top w:val="nil"/>
              <w:left w:val="nil"/>
              <w:bottom w:val="nil"/>
              <w:right w:val="nil"/>
            </w:tcBorders>
            <w:hideMark/>
          </w:tcPr>
          <w:p w14:paraId="4C2A3C25" w14:textId="77777777" w:rsidR="00E25D70" w:rsidRDefault="00E25D70">
            <w:pPr>
              <w:jc w:val="right"/>
              <w:cnfStyle w:val="000000000000" w:firstRow="0" w:lastRow="0" w:firstColumn="0" w:lastColumn="0" w:oddVBand="0" w:evenVBand="0" w:oddHBand="0" w:evenHBand="0" w:firstRowFirstColumn="0" w:firstRowLastColumn="0" w:lastRowFirstColumn="0" w:lastRowLastColumn="0"/>
            </w:pPr>
            <w:r>
              <w:t>50.1</w:t>
            </w:r>
          </w:p>
        </w:tc>
        <w:tc>
          <w:tcPr>
            <w:tcW w:w="1133" w:type="dxa"/>
            <w:tcBorders>
              <w:top w:val="nil"/>
              <w:left w:val="nil"/>
              <w:bottom w:val="nil"/>
              <w:right w:val="nil"/>
            </w:tcBorders>
            <w:hideMark/>
          </w:tcPr>
          <w:p w14:paraId="0B522FEF" w14:textId="77777777" w:rsidR="00E25D70" w:rsidRDefault="00E25D70">
            <w:pPr>
              <w:jc w:val="right"/>
              <w:cnfStyle w:val="000000000000" w:firstRow="0" w:lastRow="0" w:firstColumn="0" w:lastColumn="0" w:oddVBand="0" w:evenVBand="0" w:oddHBand="0" w:evenHBand="0" w:firstRowFirstColumn="0" w:firstRowLastColumn="0" w:lastRowFirstColumn="0" w:lastRowLastColumn="0"/>
            </w:pPr>
            <w:r>
              <w:t>48.9</w:t>
            </w:r>
          </w:p>
        </w:tc>
        <w:tc>
          <w:tcPr>
            <w:tcW w:w="1133" w:type="dxa"/>
            <w:tcBorders>
              <w:top w:val="nil"/>
              <w:left w:val="nil"/>
              <w:bottom w:val="nil"/>
              <w:right w:val="nil"/>
            </w:tcBorders>
            <w:hideMark/>
          </w:tcPr>
          <w:p w14:paraId="6B05AB27" w14:textId="77777777" w:rsidR="00E25D70" w:rsidRDefault="00E25D70">
            <w:pPr>
              <w:jc w:val="right"/>
              <w:cnfStyle w:val="000000000000" w:firstRow="0" w:lastRow="0" w:firstColumn="0" w:lastColumn="0" w:oddVBand="0" w:evenVBand="0" w:oddHBand="0" w:evenHBand="0" w:firstRowFirstColumn="0" w:firstRowLastColumn="0" w:lastRowFirstColumn="0" w:lastRowLastColumn="0"/>
            </w:pPr>
            <w:r>
              <w:t>49.0</w:t>
            </w:r>
          </w:p>
        </w:tc>
        <w:tc>
          <w:tcPr>
            <w:tcW w:w="1133" w:type="dxa"/>
            <w:tcBorders>
              <w:top w:val="nil"/>
              <w:left w:val="nil"/>
              <w:bottom w:val="nil"/>
              <w:right w:val="nil"/>
            </w:tcBorders>
            <w:hideMark/>
          </w:tcPr>
          <w:p w14:paraId="5383F45F" w14:textId="77777777" w:rsidR="00E25D70" w:rsidRDefault="00E25D70">
            <w:pPr>
              <w:jc w:val="right"/>
              <w:cnfStyle w:val="000000000000" w:firstRow="0" w:lastRow="0" w:firstColumn="0" w:lastColumn="0" w:oddVBand="0" w:evenVBand="0" w:oddHBand="0" w:evenHBand="0" w:firstRowFirstColumn="0" w:firstRowLastColumn="0" w:lastRowFirstColumn="0" w:lastRowLastColumn="0"/>
            </w:pPr>
            <w:r>
              <w:t>48.5</w:t>
            </w:r>
          </w:p>
        </w:tc>
      </w:tr>
      <w:tr w:rsidR="00E25D70" w14:paraId="4A54442E" w14:textId="77777777" w:rsidTr="00E25D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4" w:type="dxa"/>
            <w:tcBorders>
              <w:top w:val="nil"/>
              <w:left w:val="nil"/>
              <w:bottom w:val="single" w:sz="4" w:space="0" w:color="365F91"/>
              <w:right w:val="nil"/>
            </w:tcBorders>
            <w:hideMark/>
          </w:tcPr>
          <w:p w14:paraId="05F63DB6" w14:textId="77777777" w:rsidR="00E25D70" w:rsidRDefault="00E25D70">
            <w:r>
              <w:t>Closing tax asset base</w:t>
            </w:r>
          </w:p>
        </w:tc>
        <w:tc>
          <w:tcPr>
            <w:tcW w:w="1133" w:type="dxa"/>
            <w:tcBorders>
              <w:top w:val="nil"/>
              <w:left w:val="nil"/>
              <w:bottom w:val="single" w:sz="4" w:space="0" w:color="365F91"/>
              <w:right w:val="nil"/>
            </w:tcBorders>
            <w:hideMark/>
          </w:tcPr>
          <w:p w14:paraId="52AA2A3C" w14:textId="77777777" w:rsidR="00E25D70" w:rsidRDefault="00E25D70">
            <w:pPr>
              <w:jc w:val="right"/>
              <w:cnfStyle w:val="000000010000" w:firstRow="0" w:lastRow="0" w:firstColumn="0" w:lastColumn="0" w:oddVBand="0" w:evenVBand="0" w:oddHBand="0" w:evenHBand="1" w:firstRowFirstColumn="0" w:firstRowLastColumn="0" w:lastRowFirstColumn="0" w:lastRowLastColumn="0"/>
            </w:pPr>
            <w:r>
              <w:t>411.8</w:t>
            </w:r>
          </w:p>
        </w:tc>
        <w:tc>
          <w:tcPr>
            <w:tcW w:w="1133" w:type="dxa"/>
            <w:tcBorders>
              <w:top w:val="nil"/>
              <w:left w:val="nil"/>
              <w:bottom w:val="single" w:sz="4" w:space="0" w:color="365F91"/>
              <w:right w:val="nil"/>
            </w:tcBorders>
            <w:hideMark/>
          </w:tcPr>
          <w:p w14:paraId="652325B3" w14:textId="77777777" w:rsidR="00E25D70" w:rsidRDefault="00E25D70">
            <w:pPr>
              <w:jc w:val="right"/>
              <w:cnfStyle w:val="000000010000" w:firstRow="0" w:lastRow="0" w:firstColumn="0" w:lastColumn="0" w:oddVBand="0" w:evenVBand="0" w:oddHBand="0" w:evenHBand="1" w:firstRowFirstColumn="0" w:firstRowLastColumn="0" w:lastRowFirstColumn="0" w:lastRowLastColumn="0"/>
            </w:pPr>
            <w:r>
              <w:t>405.5</w:t>
            </w:r>
          </w:p>
        </w:tc>
        <w:tc>
          <w:tcPr>
            <w:tcW w:w="1133" w:type="dxa"/>
            <w:tcBorders>
              <w:top w:val="nil"/>
              <w:left w:val="nil"/>
              <w:bottom w:val="single" w:sz="4" w:space="0" w:color="365F91"/>
              <w:right w:val="nil"/>
            </w:tcBorders>
            <w:hideMark/>
          </w:tcPr>
          <w:p w14:paraId="106A1F12" w14:textId="77777777" w:rsidR="00E25D70" w:rsidRDefault="00E25D70">
            <w:pPr>
              <w:jc w:val="right"/>
              <w:cnfStyle w:val="000000010000" w:firstRow="0" w:lastRow="0" w:firstColumn="0" w:lastColumn="0" w:oddVBand="0" w:evenVBand="0" w:oddHBand="0" w:evenHBand="1" w:firstRowFirstColumn="0" w:firstRowLastColumn="0" w:lastRowFirstColumn="0" w:lastRowLastColumn="0"/>
            </w:pPr>
            <w:r>
              <w:t>406.3</w:t>
            </w:r>
          </w:p>
        </w:tc>
        <w:tc>
          <w:tcPr>
            <w:tcW w:w="1133" w:type="dxa"/>
            <w:tcBorders>
              <w:top w:val="nil"/>
              <w:left w:val="nil"/>
              <w:bottom w:val="single" w:sz="4" w:space="0" w:color="365F91"/>
              <w:right w:val="nil"/>
            </w:tcBorders>
            <w:hideMark/>
          </w:tcPr>
          <w:p w14:paraId="52369D40" w14:textId="77777777" w:rsidR="00E25D70" w:rsidRDefault="00E25D70">
            <w:pPr>
              <w:jc w:val="right"/>
              <w:cnfStyle w:val="000000010000" w:firstRow="0" w:lastRow="0" w:firstColumn="0" w:lastColumn="0" w:oddVBand="0" w:evenVBand="0" w:oddHBand="0" w:evenHBand="1" w:firstRowFirstColumn="0" w:firstRowLastColumn="0" w:lastRowFirstColumn="0" w:lastRowLastColumn="0"/>
            </w:pPr>
            <w:r>
              <w:t>423.7</w:t>
            </w:r>
          </w:p>
        </w:tc>
        <w:tc>
          <w:tcPr>
            <w:tcW w:w="1133" w:type="dxa"/>
            <w:tcBorders>
              <w:top w:val="nil"/>
              <w:left w:val="nil"/>
              <w:bottom w:val="single" w:sz="4" w:space="0" w:color="365F91"/>
              <w:right w:val="nil"/>
            </w:tcBorders>
            <w:hideMark/>
          </w:tcPr>
          <w:p w14:paraId="143B846F" w14:textId="77777777" w:rsidR="00E25D70" w:rsidRDefault="00E25D70">
            <w:pPr>
              <w:jc w:val="right"/>
              <w:cnfStyle w:val="000000010000" w:firstRow="0" w:lastRow="0" w:firstColumn="0" w:lastColumn="0" w:oddVBand="0" w:evenVBand="0" w:oddHBand="0" w:evenHBand="1" w:firstRowFirstColumn="0" w:firstRowLastColumn="0" w:lastRowFirstColumn="0" w:lastRowLastColumn="0"/>
            </w:pPr>
            <w:r>
              <w:rPr>
                <w:rStyle w:val="CommentReference"/>
              </w:rPr>
              <w:t>411.9</w:t>
            </w:r>
          </w:p>
        </w:tc>
      </w:tr>
    </w:tbl>
    <w:p w14:paraId="1DC878D9" w14:textId="77777777" w:rsidR="00E25D70" w:rsidRDefault="00E25D70" w:rsidP="00E25D70">
      <w:pPr>
        <w:pStyle w:val="AERtablesource"/>
        <w:ind w:left="0" w:firstLine="0"/>
      </w:pPr>
      <w:r>
        <w:t>Source:</w:t>
      </w:r>
      <w:r>
        <w:tab/>
        <w:t>AER analysis.</w:t>
      </w:r>
    </w:p>
    <w:p w14:paraId="2ED0D208" w14:textId="77777777" w:rsidR="00E25D70" w:rsidRDefault="00E25D70" w:rsidP="00E25D70">
      <w:pPr>
        <w:pStyle w:val="AERtablesource"/>
      </w:pPr>
      <w:r>
        <w:t xml:space="preserve">Note: </w:t>
      </w:r>
      <w:r>
        <w:tab/>
        <w:t>Totals may not add due to rounding.</w:t>
      </w:r>
    </w:p>
    <w:p w14:paraId="1C165566" w14:textId="77777777" w:rsidR="00E25D70" w:rsidRPr="00E25D70" w:rsidRDefault="00E25D70" w:rsidP="00E25D70">
      <w:pPr>
        <w:pStyle w:val="Heading1"/>
        <w:numPr>
          <w:ilvl w:val="1"/>
          <w:numId w:val="46"/>
        </w:numPr>
        <w:rPr>
          <w:rStyle w:val="AERbody"/>
          <w:color w:val="E36C0A"/>
          <w:sz w:val="36"/>
        </w:rPr>
      </w:pPr>
      <w:bookmarkStart w:id="23" w:name="_Toc367787492"/>
      <w:bookmarkStart w:id="24" w:name="_Toc368044964"/>
      <w:r w:rsidRPr="00E25D70">
        <w:rPr>
          <w:rStyle w:val="AERbody"/>
          <w:color w:val="E36C0A"/>
          <w:sz w:val="36"/>
        </w:rPr>
        <w:lastRenderedPageBreak/>
        <w:t>Total revenue requirement</w:t>
      </w:r>
      <w:bookmarkEnd w:id="23"/>
      <w:bookmarkEnd w:id="24"/>
    </w:p>
    <w:p w14:paraId="1FD6F164" w14:textId="77777777" w:rsidR="00E25D70" w:rsidRDefault="00E25D70" w:rsidP="00E25D70">
      <w:pPr>
        <w:pStyle w:val="AERbodytext"/>
        <w:numPr>
          <w:ilvl w:val="0"/>
          <w:numId w:val="47"/>
        </w:numPr>
        <w:rPr>
          <w:rStyle w:val="AERbody"/>
        </w:rPr>
      </w:pPr>
      <w:r>
        <w:rPr>
          <w:rStyle w:val="AERbody"/>
        </w:rPr>
        <w:t xml:space="preserve">The total revenue requirement is a forecast of the efficient cost of providing gas distribution services over the access arrangement period. </w:t>
      </w:r>
    </w:p>
    <w:p w14:paraId="13F739CF" w14:textId="77777777" w:rsidR="00E25D70" w:rsidRDefault="00E25D70" w:rsidP="00E25D70">
      <w:pPr>
        <w:pStyle w:val="AERbodytext"/>
        <w:numPr>
          <w:ilvl w:val="0"/>
          <w:numId w:val="47"/>
        </w:numPr>
        <w:rPr>
          <w:rStyle w:val="AERbody"/>
        </w:rPr>
      </w:pPr>
      <w:r>
        <w:rPr>
          <w:rStyle w:val="AERbody"/>
        </w:rPr>
        <w:t>The AER determined Multinet’s total revenue requirement in its final decision by assessing each of Multinet’s building block costs.</w:t>
      </w:r>
      <w:r>
        <w:rPr>
          <w:rStyle w:val="FootnoteReference"/>
        </w:rPr>
        <w:footnoteReference w:id="12"/>
      </w:r>
      <w:r>
        <w:rPr>
          <w:rStyle w:val="AERbody"/>
        </w:rPr>
        <w:t xml:space="preserve"> However, this decision on the increase to the opening capital base and tax asset base, holding all other building block costs constant, results in an increase to Multinet’s total revenue requirement for the 2013–17 access arrangement period. Consequently, the AER has made a new decision on the total revenue requirement for Multinet.</w:t>
      </w:r>
    </w:p>
    <w:p w14:paraId="0E7181AF" w14:textId="77777777" w:rsidR="00E25D70" w:rsidRPr="00E25D70" w:rsidRDefault="00E25D70" w:rsidP="00E25D70">
      <w:pPr>
        <w:pStyle w:val="Heading2"/>
        <w:numPr>
          <w:ilvl w:val="2"/>
          <w:numId w:val="46"/>
        </w:numPr>
        <w:rPr>
          <w:rStyle w:val="AERbody"/>
          <w:color w:val="E36C0A"/>
          <w:sz w:val="28"/>
        </w:rPr>
      </w:pPr>
      <w:bookmarkStart w:id="25" w:name="_Toc367787493"/>
      <w:bookmarkStart w:id="26" w:name="_Toc368044965"/>
      <w:r w:rsidRPr="00E25D70">
        <w:rPr>
          <w:rStyle w:val="AERbody"/>
          <w:color w:val="E36C0A"/>
          <w:sz w:val="28"/>
        </w:rPr>
        <w:t>Decision</w:t>
      </w:r>
      <w:bookmarkEnd w:id="25"/>
      <w:bookmarkEnd w:id="26"/>
    </w:p>
    <w:p w14:paraId="3388D4FE" w14:textId="77777777" w:rsidR="00E25D70" w:rsidRDefault="00E25D70" w:rsidP="00E25D70">
      <w:pPr>
        <w:rPr>
          <w:rStyle w:val="AERbody"/>
        </w:rPr>
      </w:pPr>
      <w:r>
        <w:rPr>
          <w:rStyle w:val="AERbody"/>
        </w:rPr>
        <w:t xml:space="preserve">The AER’s decision on the total (smoothed) expected revenue derived from MultiNet's reference services is $905.3 million ($nominal). The smoothed revenue is calculated by smoothing the total building block revenue requirement of $908.7 million ($nominal). </w:t>
      </w:r>
    </w:p>
    <w:p w14:paraId="235FD384" w14:textId="77777777" w:rsidR="00E25D70" w:rsidRDefault="00E25D70" w:rsidP="00E25D70">
      <w:pPr>
        <w:rPr>
          <w:rStyle w:val="AERbody"/>
        </w:rPr>
      </w:pPr>
      <w:r>
        <w:rPr>
          <w:rStyle w:val="AERbody"/>
        </w:rPr>
        <w:fldChar w:fldCharType="begin"/>
      </w:r>
      <w:r>
        <w:rPr>
          <w:rStyle w:val="AERbody"/>
        </w:rPr>
        <w:instrText xml:space="preserve"> REF _Ref367786202 \h </w:instrText>
      </w:r>
      <w:r>
        <w:rPr>
          <w:rStyle w:val="AERbody"/>
        </w:rPr>
      </w:r>
      <w:r>
        <w:rPr>
          <w:rStyle w:val="AERbody"/>
        </w:rPr>
        <w:fldChar w:fldCharType="separate"/>
      </w:r>
      <w:r>
        <w:t>Table 5.6</w:t>
      </w:r>
      <w:r>
        <w:rPr>
          <w:rStyle w:val="AERbody"/>
        </w:rPr>
        <w:fldChar w:fldCharType="end"/>
      </w:r>
      <w:r>
        <w:rPr>
          <w:rStyle w:val="AERbody"/>
        </w:rPr>
        <w:t xml:space="preserve"> shows the AER’s decision on the revenue requirement for each of the building blocks, which have been adjusted from the final decision to account for this decision on the increased opening capital base. </w:t>
      </w:r>
    </w:p>
    <w:p w14:paraId="2E422E1E" w14:textId="77777777" w:rsidR="00E25D70" w:rsidRDefault="00E25D70" w:rsidP="00E25D70">
      <w:pPr>
        <w:pStyle w:val="Caption"/>
      </w:pPr>
      <w:bookmarkStart w:id="27" w:name="_Ref367786202"/>
      <w:r>
        <w:t>Table 5.6</w:t>
      </w:r>
      <w:bookmarkEnd w:id="27"/>
      <w:r>
        <w:tab/>
        <w:t>AER's final decision on Multinet's revenue requirements for its reference services ($million, nominal)</w:t>
      </w:r>
    </w:p>
    <w:tbl>
      <w:tblPr>
        <w:tblW w:w="0" w:type="auto"/>
        <w:tblBorders>
          <w:bottom w:val="single" w:sz="4" w:space="0" w:color="365F91"/>
        </w:tblBorders>
        <w:tblLayout w:type="fixed"/>
        <w:tblLook w:val="01E0" w:firstRow="1" w:lastRow="1" w:firstColumn="1" w:lastColumn="1" w:noHBand="0" w:noVBand="0"/>
      </w:tblPr>
      <w:tblGrid>
        <w:gridCol w:w="3230"/>
        <w:gridCol w:w="1002"/>
        <w:gridCol w:w="1002"/>
        <w:gridCol w:w="1002"/>
        <w:gridCol w:w="1002"/>
        <w:gridCol w:w="1002"/>
        <w:gridCol w:w="1002"/>
      </w:tblGrid>
      <w:tr w:rsidR="00E25D70" w14:paraId="78D59457" w14:textId="77777777" w:rsidTr="00E25D70">
        <w:trPr>
          <w:trHeight w:val="454"/>
        </w:trPr>
        <w:tc>
          <w:tcPr>
            <w:tcW w:w="3230" w:type="dxa"/>
            <w:tcBorders>
              <w:top w:val="nil"/>
              <w:left w:val="nil"/>
              <w:bottom w:val="nil"/>
              <w:right w:val="nil"/>
            </w:tcBorders>
            <w:shd w:val="clear" w:color="auto" w:fill="365F91"/>
            <w:noWrap/>
            <w:vAlign w:val="center"/>
          </w:tcPr>
          <w:p w14:paraId="3BF01375" w14:textId="77777777" w:rsidR="00E25D70" w:rsidRDefault="00E25D70">
            <w:pPr>
              <w:spacing w:before="120"/>
              <w:rPr>
                <w:b/>
                <w:color w:val="FFFFFF"/>
                <w:sz w:val="16"/>
              </w:rPr>
            </w:pPr>
          </w:p>
        </w:tc>
        <w:tc>
          <w:tcPr>
            <w:tcW w:w="1002" w:type="dxa"/>
            <w:tcBorders>
              <w:top w:val="nil"/>
              <w:left w:val="nil"/>
              <w:bottom w:val="nil"/>
              <w:right w:val="nil"/>
            </w:tcBorders>
            <w:shd w:val="clear" w:color="auto" w:fill="365F91"/>
            <w:noWrap/>
            <w:vAlign w:val="center"/>
            <w:hideMark/>
          </w:tcPr>
          <w:p w14:paraId="04275230" w14:textId="77777777" w:rsidR="00E25D70" w:rsidRDefault="00E25D70">
            <w:pPr>
              <w:pStyle w:val="AERtabletextright"/>
              <w:rPr>
                <w:b/>
                <w:color w:val="FFFFFF"/>
              </w:rPr>
            </w:pPr>
            <w:r>
              <w:rPr>
                <w:b/>
                <w:color w:val="FFFFFF"/>
              </w:rPr>
              <w:t>2013</w:t>
            </w:r>
          </w:p>
        </w:tc>
        <w:tc>
          <w:tcPr>
            <w:tcW w:w="1002" w:type="dxa"/>
            <w:tcBorders>
              <w:top w:val="nil"/>
              <w:left w:val="nil"/>
              <w:bottom w:val="nil"/>
              <w:right w:val="nil"/>
            </w:tcBorders>
            <w:shd w:val="clear" w:color="auto" w:fill="365F91"/>
            <w:noWrap/>
            <w:vAlign w:val="center"/>
            <w:hideMark/>
          </w:tcPr>
          <w:p w14:paraId="7388B761" w14:textId="77777777" w:rsidR="00E25D70" w:rsidRDefault="00E25D70">
            <w:pPr>
              <w:pStyle w:val="AERtabletextright"/>
              <w:rPr>
                <w:b/>
                <w:color w:val="FFFFFF"/>
              </w:rPr>
            </w:pPr>
            <w:r>
              <w:rPr>
                <w:b/>
                <w:color w:val="FFFFFF"/>
              </w:rPr>
              <w:t>2014</w:t>
            </w:r>
          </w:p>
        </w:tc>
        <w:tc>
          <w:tcPr>
            <w:tcW w:w="1002" w:type="dxa"/>
            <w:tcBorders>
              <w:top w:val="nil"/>
              <w:left w:val="nil"/>
              <w:bottom w:val="nil"/>
              <w:right w:val="nil"/>
            </w:tcBorders>
            <w:shd w:val="clear" w:color="auto" w:fill="365F91"/>
            <w:noWrap/>
            <w:vAlign w:val="center"/>
            <w:hideMark/>
          </w:tcPr>
          <w:p w14:paraId="5EEFEA10" w14:textId="77777777" w:rsidR="00E25D70" w:rsidRDefault="00E25D70">
            <w:pPr>
              <w:pStyle w:val="AERtabletextright"/>
              <w:rPr>
                <w:b/>
                <w:color w:val="FFFFFF"/>
              </w:rPr>
            </w:pPr>
            <w:r>
              <w:rPr>
                <w:b/>
                <w:color w:val="FFFFFF"/>
              </w:rPr>
              <w:t>2015</w:t>
            </w:r>
          </w:p>
        </w:tc>
        <w:tc>
          <w:tcPr>
            <w:tcW w:w="1002" w:type="dxa"/>
            <w:tcBorders>
              <w:top w:val="nil"/>
              <w:left w:val="nil"/>
              <w:bottom w:val="nil"/>
              <w:right w:val="nil"/>
            </w:tcBorders>
            <w:shd w:val="clear" w:color="auto" w:fill="365F91"/>
            <w:noWrap/>
            <w:vAlign w:val="center"/>
            <w:hideMark/>
          </w:tcPr>
          <w:p w14:paraId="34F36252" w14:textId="77777777" w:rsidR="00E25D70" w:rsidRDefault="00E25D70">
            <w:pPr>
              <w:pStyle w:val="AERtabletextright"/>
              <w:rPr>
                <w:b/>
                <w:color w:val="FFFFFF"/>
              </w:rPr>
            </w:pPr>
            <w:r>
              <w:rPr>
                <w:b/>
                <w:color w:val="FFFFFF"/>
              </w:rPr>
              <w:t>2016</w:t>
            </w:r>
          </w:p>
        </w:tc>
        <w:tc>
          <w:tcPr>
            <w:tcW w:w="1002" w:type="dxa"/>
            <w:tcBorders>
              <w:top w:val="nil"/>
              <w:left w:val="nil"/>
              <w:bottom w:val="nil"/>
              <w:right w:val="nil"/>
            </w:tcBorders>
            <w:shd w:val="clear" w:color="auto" w:fill="365F91"/>
            <w:noWrap/>
            <w:vAlign w:val="center"/>
            <w:hideMark/>
          </w:tcPr>
          <w:p w14:paraId="780FBCF3" w14:textId="77777777" w:rsidR="00E25D70" w:rsidRDefault="00E25D70">
            <w:pPr>
              <w:pStyle w:val="AERtabletextright"/>
              <w:rPr>
                <w:b/>
                <w:color w:val="FFFFFF"/>
              </w:rPr>
            </w:pPr>
            <w:r>
              <w:rPr>
                <w:b/>
                <w:color w:val="FFFFFF"/>
              </w:rPr>
              <w:t>2017</w:t>
            </w:r>
          </w:p>
        </w:tc>
        <w:tc>
          <w:tcPr>
            <w:tcW w:w="1002" w:type="dxa"/>
            <w:tcBorders>
              <w:top w:val="nil"/>
              <w:left w:val="nil"/>
              <w:bottom w:val="nil"/>
              <w:right w:val="nil"/>
            </w:tcBorders>
            <w:shd w:val="clear" w:color="auto" w:fill="365F91"/>
            <w:noWrap/>
            <w:vAlign w:val="center"/>
            <w:hideMark/>
          </w:tcPr>
          <w:p w14:paraId="0ED0BC54" w14:textId="77777777" w:rsidR="00E25D70" w:rsidRDefault="00E25D70">
            <w:pPr>
              <w:pStyle w:val="AERtabletextright"/>
              <w:rPr>
                <w:b/>
                <w:color w:val="FFFFFF"/>
              </w:rPr>
            </w:pPr>
            <w:r>
              <w:rPr>
                <w:b/>
                <w:color w:val="FFFFFF"/>
              </w:rPr>
              <w:t xml:space="preserve">Total </w:t>
            </w:r>
          </w:p>
        </w:tc>
      </w:tr>
      <w:tr w:rsidR="00E25D70" w14:paraId="723EA99D" w14:textId="77777777" w:rsidTr="00E25D70">
        <w:trPr>
          <w:trHeight w:val="454"/>
        </w:trPr>
        <w:tc>
          <w:tcPr>
            <w:tcW w:w="3230" w:type="dxa"/>
            <w:tcBorders>
              <w:top w:val="nil"/>
              <w:left w:val="nil"/>
              <w:bottom w:val="nil"/>
              <w:right w:val="nil"/>
            </w:tcBorders>
            <w:noWrap/>
            <w:vAlign w:val="center"/>
            <w:hideMark/>
          </w:tcPr>
          <w:p w14:paraId="34A8C5CB" w14:textId="77777777" w:rsidR="00E25D70" w:rsidRDefault="00E25D70">
            <w:pPr>
              <w:pStyle w:val="AERtabletextleft"/>
            </w:pPr>
            <w:r>
              <w:t>Return on capital</w:t>
            </w:r>
          </w:p>
        </w:tc>
        <w:tc>
          <w:tcPr>
            <w:tcW w:w="1002" w:type="dxa"/>
            <w:tcBorders>
              <w:top w:val="nil"/>
              <w:left w:val="nil"/>
              <w:bottom w:val="nil"/>
              <w:right w:val="nil"/>
            </w:tcBorders>
            <w:noWrap/>
            <w:hideMark/>
          </w:tcPr>
          <w:p w14:paraId="49B8BDB5" w14:textId="77777777" w:rsidR="00E25D70" w:rsidRDefault="00E25D70">
            <w:pPr>
              <w:pStyle w:val="AERtabletextright"/>
            </w:pPr>
            <w:r>
              <w:t>74.2</w:t>
            </w:r>
          </w:p>
        </w:tc>
        <w:tc>
          <w:tcPr>
            <w:tcW w:w="1002" w:type="dxa"/>
            <w:tcBorders>
              <w:top w:val="nil"/>
              <w:left w:val="nil"/>
              <w:bottom w:val="nil"/>
              <w:right w:val="nil"/>
            </w:tcBorders>
            <w:noWrap/>
            <w:hideMark/>
          </w:tcPr>
          <w:p w14:paraId="4F52B519" w14:textId="77777777" w:rsidR="00E25D70" w:rsidRDefault="00E25D70">
            <w:pPr>
              <w:pStyle w:val="AERtabletextright"/>
            </w:pPr>
            <w:r>
              <w:t>78.0</w:t>
            </w:r>
          </w:p>
        </w:tc>
        <w:tc>
          <w:tcPr>
            <w:tcW w:w="1002" w:type="dxa"/>
            <w:tcBorders>
              <w:top w:val="nil"/>
              <w:left w:val="nil"/>
              <w:bottom w:val="nil"/>
              <w:right w:val="nil"/>
            </w:tcBorders>
            <w:noWrap/>
            <w:hideMark/>
          </w:tcPr>
          <w:p w14:paraId="32FA72F3" w14:textId="77777777" w:rsidR="00E25D70" w:rsidRDefault="00E25D70">
            <w:pPr>
              <w:pStyle w:val="AERtabletextright"/>
            </w:pPr>
            <w:r>
              <w:t>78.9</w:t>
            </w:r>
          </w:p>
        </w:tc>
        <w:tc>
          <w:tcPr>
            <w:tcW w:w="1002" w:type="dxa"/>
            <w:tcBorders>
              <w:top w:val="nil"/>
              <w:left w:val="nil"/>
              <w:bottom w:val="nil"/>
              <w:right w:val="nil"/>
            </w:tcBorders>
            <w:noWrap/>
            <w:hideMark/>
          </w:tcPr>
          <w:p w14:paraId="4D189936" w14:textId="77777777" w:rsidR="00E25D70" w:rsidRDefault="00E25D70">
            <w:pPr>
              <w:pStyle w:val="AERtabletextright"/>
            </w:pPr>
            <w:r>
              <w:t>80.1</w:t>
            </w:r>
          </w:p>
        </w:tc>
        <w:tc>
          <w:tcPr>
            <w:tcW w:w="1002" w:type="dxa"/>
            <w:tcBorders>
              <w:top w:val="nil"/>
              <w:left w:val="nil"/>
              <w:bottom w:val="nil"/>
              <w:right w:val="nil"/>
            </w:tcBorders>
            <w:noWrap/>
            <w:hideMark/>
          </w:tcPr>
          <w:p w14:paraId="43BA8AA7" w14:textId="77777777" w:rsidR="00E25D70" w:rsidRDefault="00E25D70">
            <w:pPr>
              <w:pStyle w:val="AERtabletextright"/>
            </w:pPr>
            <w:r>
              <w:t>82.4</w:t>
            </w:r>
          </w:p>
        </w:tc>
        <w:tc>
          <w:tcPr>
            <w:tcW w:w="1002" w:type="dxa"/>
            <w:tcBorders>
              <w:top w:val="nil"/>
              <w:left w:val="nil"/>
              <w:bottom w:val="nil"/>
              <w:right w:val="nil"/>
            </w:tcBorders>
            <w:noWrap/>
            <w:hideMark/>
          </w:tcPr>
          <w:p w14:paraId="666600EE" w14:textId="77777777" w:rsidR="00E25D70" w:rsidRDefault="00E25D70">
            <w:pPr>
              <w:pStyle w:val="AERtabletextright"/>
            </w:pPr>
            <w:r>
              <w:t>393.6</w:t>
            </w:r>
          </w:p>
        </w:tc>
      </w:tr>
      <w:tr w:rsidR="00E25D70" w14:paraId="4E06F71C" w14:textId="77777777" w:rsidTr="00E25D70">
        <w:trPr>
          <w:trHeight w:val="454"/>
        </w:trPr>
        <w:tc>
          <w:tcPr>
            <w:tcW w:w="3230" w:type="dxa"/>
            <w:tcBorders>
              <w:top w:val="nil"/>
              <w:left w:val="nil"/>
              <w:bottom w:val="nil"/>
              <w:right w:val="nil"/>
            </w:tcBorders>
            <w:shd w:val="clear" w:color="auto" w:fill="DBE5F1"/>
            <w:noWrap/>
            <w:vAlign w:val="center"/>
            <w:hideMark/>
          </w:tcPr>
          <w:p w14:paraId="68FDCF3D" w14:textId="77777777" w:rsidR="00E25D70" w:rsidRDefault="00E25D70">
            <w:pPr>
              <w:pStyle w:val="AERtabletextleft"/>
            </w:pPr>
            <w:r>
              <w:t>Regulatory depreciation</w:t>
            </w:r>
          </w:p>
        </w:tc>
        <w:tc>
          <w:tcPr>
            <w:tcW w:w="1002" w:type="dxa"/>
            <w:tcBorders>
              <w:top w:val="nil"/>
              <w:left w:val="nil"/>
              <w:bottom w:val="nil"/>
              <w:right w:val="nil"/>
            </w:tcBorders>
            <w:shd w:val="clear" w:color="auto" w:fill="DBE5F1"/>
            <w:noWrap/>
            <w:hideMark/>
          </w:tcPr>
          <w:p w14:paraId="6C0443E1" w14:textId="77777777" w:rsidR="00E25D70" w:rsidRDefault="00E25D70">
            <w:pPr>
              <w:pStyle w:val="AERtabletextright"/>
            </w:pPr>
            <w:r>
              <w:t>19.9</w:t>
            </w:r>
          </w:p>
        </w:tc>
        <w:tc>
          <w:tcPr>
            <w:tcW w:w="1002" w:type="dxa"/>
            <w:tcBorders>
              <w:top w:val="nil"/>
              <w:left w:val="nil"/>
              <w:bottom w:val="nil"/>
              <w:right w:val="nil"/>
            </w:tcBorders>
            <w:shd w:val="clear" w:color="auto" w:fill="DBE5F1"/>
            <w:noWrap/>
            <w:hideMark/>
          </w:tcPr>
          <w:p w14:paraId="7AACFE14" w14:textId="77777777" w:rsidR="00E25D70" w:rsidRDefault="00E25D70">
            <w:pPr>
              <w:pStyle w:val="AERtabletextright"/>
            </w:pPr>
            <w:r>
              <w:t>28.0</w:t>
            </w:r>
          </w:p>
        </w:tc>
        <w:tc>
          <w:tcPr>
            <w:tcW w:w="1002" w:type="dxa"/>
            <w:tcBorders>
              <w:top w:val="nil"/>
              <w:left w:val="nil"/>
              <w:bottom w:val="nil"/>
              <w:right w:val="nil"/>
            </w:tcBorders>
            <w:shd w:val="clear" w:color="auto" w:fill="DBE5F1"/>
            <w:noWrap/>
            <w:hideMark/>
          </w:tcPr>
          <w:p w14:paraId="599C4278" w14:textId="77777777" w:rsidR="00E25D70" w:rsidRDefault="00E25D70">
            <w:pPr>
              <w:pStyle w:val="AERtabletextright"/>
            </w:pPr>
            <w:r>
              <w:t>31.2</w:t>
            </w:r>
          </w:p>
        </w:tc>
        <w:tc>
          <w:tcPr>
            <w:tcW w:w="1002" w:type="dxa"/>
            <w:tcBorders>
              <w:top w:val="nil"/>
              <w:left w:val="nil"/>
              <w:bottom w:val="nil"/>
              <w:right w:val="nil"/>
            </w:tcBorders>
            <w:shd w:val="clear" w:color="auto" w:fill="DBE5F1"/>
            <w:noWrap/>
            <w:hideMark/>
          </w:tcPr>
          <w:p w14:paraId="5AAEE383" w14:textId="77777777" w:rsidR="00E25D70" w:rsidRDefault="00E25D70">
            <w:pPr>
              <w:pStyle w:val="AERtabletextright"/>
            </w:pPr>
            <w:r>
              <w:t>34.2</w:t>
            </w:r>
          </w:p>
        </w:tc>
        <w:tc>
          <w:tcPr>
            <w:tcW w:w="1002" w:type="dxa"/>
            <w:tcBorders>
              <w:top w:val="nil"/>
              <w:left w:val="nil"/>
              <w:bottom w:val="nil"/>
              <w:right w:val="nil"/>
            </w:tcBorders>
            <w:shd w:val="clear" w:color="auto" w:fill="DBE5F1"/>
            <w:noWrap/>
            <w:hideMark/>
          </w:tcPr>
          <w:p w14:paraId="025B0457" w14:textId="77777777" w:rsidR="00E25D70" w:rsidRDefault="00E25D70">
            <w:pPr>
              <w:pStyle w:val="AERtabletextright"/>
            </w:pPr>
            <w:r>
              <w:t>37.5</w:t>
            </w:r>
          </w:p>
        </w:tc>
        <w:tc>
          <w:tcPr>
            <w:tcW w:w="1002" w:type="dxa"/>
            <w:tcBorders>
              <w:top w:val="nil"/>
              <w:left w:val="nil"/>
              <w:bottom w:val="nil"/>
              <w:right w:val="nil"/>
            </w:tcBorders>
            <w:shd w:val="clear" w:color="auto" w:fill="DBE5F1"/>
            <w:noWrap/>
            <w:hideMark/>
          </w:tcPr>
          <w:p w14:paraId="78C238B9" w14:textId="77777777" w:rsidR="00E25D70" w:rsidRDefault="00E25D70">
            <w:pPr>
              <w:pStyle w:val="AERtabletextright"/>
            </w:pPr>
            <w:r>
              <w:t>150.8</w:t>
            </w:r>
          </w:p>
        </w:tc>
      </w:tr>
      <w:tr w:rsidR="00E25D70" w14:paraId="33F7CE8D" w14:textId="77777777" w:rsidTr="00E25D70">
        <w:trPr>
          <w:trHeight w:val="454"/>
        </w:trPr>
        <w:tc>
          <w:tcPr>
            <w:tcW w:w="3230" w:type="dxa"/>
            <w:tcBorders>
              <w:top w:val="nil"/>
              <w:left w:val="nil"/>
              <w:bottom w:val="nil"/>
              <w:right w:val="nil"/>
            </w:tcBorders>
            <w:noWrap/>
            <w:vAlign w:val="center"/>
            <w:hideMark/>
          </w:tcPr>
          <w:p w14:paraId="7C42DF49" w14:textId="77777777" w:rsidR="00E25D70" w:rsidRDefault="00E25D70">
            <w:pPr>
              <w:pStyle w:val="AERtabletextleft"/>
            </w:pPr>
            <w:r>
              <w:t>Operating expenditure</w:t>
            </w:r>
          </w:p>
        </w:tc>
        <w:tc>
          <w:tcPr>
            <w:tcW w:w="1002" w:type="dxa"/>
            <w:tcBorders>
              <w:top w:val="nil"/>
              <w:left w:val="nil"/>
              <w:bottom w:val="nil"/>
              <w:right w:val="nil"/>
            </w:tcBorders>
            <w:noWrap/>
            <w:hideMark/>
          </w:tcPr>
          <w:p w14:paraId="2C7CE5DD" w14:textId="77777777" w:rsidR="00E25D70" w:rsidRDefault="00E25D70">
            <w:pPr>
              <w:pStyle w:val="AERtabletextright"/>
            </w:pPr>
            <w:r>
              <w:t>59.0</w:t>
            </w:r>
          </w:p>
        </w:tc>
        <w:tc>
          <w:tcPr>
            <w:tcW w:w="1002" w:type="dxa"/>
            <w:tcBorders>
              <w:top w:val="nil"/>
              <w:left w:val="nil"/>
              <w:bottom w:val="nil"/>
              <w:right w:val="nil"/>
            </w:tcBorders>
            <w:noWrap/>
            <w:hideMark/>
          </w:tcPr>
          <w:p w14:paraId="4E8B09F4" w14:textId="77777777" w:rsidR="00E25D70" w:rsidRDefault="00E25D70">
            <w:pPr>
              <w:pStyle w:val="AERtabletextright"/>
            </w:pPr>
            <w:r>
              <w:t>66.2</w:t>
            </w:r>
          </w:p>
        </w:tc>
        <w:tc>
          <w:tcPr>
            <w:tcW w:w="1002" w:type="dxa"/>
            <w:tcBorders>
              <w:top w:val="nil"/>
              <w:left w:val="nil"/>
              <w:bottom w:val="nil"/>
              <w:right w:val="nil"/>
            </w:tcBorders>
            <w:noWrap/>
            <w:hideMark/>
          </w:tcPr>
          <w:p w14:paraId="4709B819" w14:textId="77777777" w:rsidR="00E25D70" w:rsidRDefault="00E25D70">
            <w:pPr>
              <w:pStyle w:val="AERtabletextright"/>
            </w:pPr>
            <w:r>
              <w:t>70.3</w:t>
            </w:r>
          </w:p>
        </w:tc>
        <w:tc>
          <w:tcPr>
            <w:tcW w:w="1002" w:type="dxa"/>
            <w:tcBorders>
              <w:top w:val="nil"/>
              <w:left w:val="nil"/>
              <w:bottom w:val="nil"/>
              <w:right w:val="nil"/>
            </w:tcBorders>
            <w:noWrap/>
            <w:hideMark/>
          </w:tcPr>
          <w:p w14:paraId="5AE8647B" w14:textId="77777777" w:rsidR="00E25D70" w:rsidRDefault="00E25D70">
            <w:pPr>
              <w:pStyle w:val="AERtabletextright"/>
            </w:pPr>
            <w:r>
              <w:t>71.7</w:t>
            </w:r>
          </w:p>
        </w:tc>
        <w:tc>
          <w:tcPr>
            <w:tcW w:w="1002" w:type="dxa"/>
            <w:tcBorders>
              <w:top w:val="nil"/>
              <w:left w:val="nil"/>
              <w:bottom w:val="nil"/>
              <w:right w:val="nil"/>
            </w:tcBorders>
            <w:noWrap/>
            <w:hideMark/>
          </w:tcPr>
          <w:p w14:paraId="2063B4E0" w14:textId="77777777" w:rsidR="00E25D70" w:rsidRDefault="00E25D70">
            <w:pPr>
              <w:pStyle w:val="AERtabletextright"/>
            </w:pPr>
            <w:r>
              <w:t>74.4</w:t>
            </w:r>
          </w:p>
        </w:tc>
        <w:tc>
          <w:tcPr>
            <w:tcW w:w="1002" w:type="dxa"/>
            <w:tcBorders>
              <w:top w:val="nil"/>
              <w:left w:val="nil"/>
              <w:bottom w:val="nil"/>
              <w:right w:val="nil"/>
            </w:tcBorders>
            <w:noWrap/>
            <w:hideMark/>
          </w:tcPr>
          <w:p w14:paraId="2C1EC852" w14:textId="77777777" w:rsidR="00E25D70" w:rsidRDefault="00E25D70">
            <w:pPr>
              <w:pStyle w:val="AERtabletextright"/>
            </w:pPr>
            <w:r>
              <w:t>341.6</w:t>
            </w:r>
          </w:p>
        </w:tc>
      </w:tr>
      <w:tr w:rsidR="00E25D70" w14:paraId="3772862A" w14:textId="77777777" w:rsidTr="00E25D70">
        <w:trPr>
          <w:trHeight w:val="454"/>
        </w:trPr>
        <w:tc>
          <w:tcPr>
            <w:tcW w:w="3230" w:type="dxa"/>
            <w:tcBorders>
              <w:top w:val="nil"/>
              <w:left w:val="nil"/>
              <w:bottom w:val="nil"/>
              <w:right w:val="nil"/>
            </w:tcBorders>
            <w:shd w:val="clear" w:color="auto" w:fill="DBE5F1"/>
            <w:noWrap/>
            <w:vAlign w:val="center"/>
            <w:hideMark/>
          </w:tcPr>
          <w:p w14:paraId="44BBCC1E" w14:textId="77777777" w:rsidR="00E25D70" w:rsidRDefault="00E25D70">
            <w:pPr>
              <w:pStyle w:val="AERtabletextleft"/>
            </w:pPr>
            <w:r>
              <w:t>Efficiency carry-over</w:t>
            </w:r>
          </w:p>
        </w:tc>
        <w:tc>
          <w:tcPr>
            <w:tcW w:w="1002" w:type="dxa"/>
            <w:tcBorders>
              <w:top w:val="nil"/>
              <w:left w:val="nil"/>
              <w:bottom w:val="nil"/>
              <w:right w:val="nil"/>
            </w:tcBorders>
            <w:shd w:val="clear" w:color="auto" w:fill="DBE5F1"/>
            <w:noWrap/>
            <w:hideMark/>
          </w:tcPr>
          <w:p w14:paraId="73926D04" w14:textId="77777777" w:rsidR="00E25D70" w:rsidRDefault="00E25D70">
            <w:pPr>
              <w:pStyle w:val="AERtabletextright"/>
            </w:pPr>
            <w:r>
              <w:rPr>
                <w:rFonts w:cs="Gautami"/>
              </w:rPr>
              <w:t>–</w:t>
            </w:r>
          </w:p>
        </w:tc>
        <w:tc>
          <w:tcPr>
            <w:tcW w:w="1002" w:type="dxa"/>
            <w:tcBorders>
              <w:top w:val="nil"/>
              <w:left w:val="nil"/>
              <w:bottom w:val="nil"/>
              <w:right w:val="nil"/>
            </w:tcBorders>
            <w:shd w:val="clear" w:color="auto" w:fill="DBE5F1"/>
            <w:noWrap/>
            <w:hideMark/>
          </w:tcPr>
          <w:p w14:paraId="536D35A7" w14:textId="77777777" w:rsidR="00E25D70" w:rsidRDefault="00E25D70">
            <w:pPr>
              <w:pStyle w:val="AERtabletextright"/>
            </w:pPr>
            <w:r>
              <w:t>–</w:t>
            </w:r>
          </w:p>
        </w:tc>
        <w:tc>
          <w:tcPr>
            <w:tcW w:w="1002" w:type="dxa"/>
            <w:tcBorders>
              <w:top w:val="nil"/>
              <w:left w:val="nil"/>
              <w:bottom w:val="nil"/>
              <w:right w:val="nil"/>
            </w:tcBorders>
            <w:shd w:val="clear" w:color="auto" w:fill="DBE5F1"/>
            <w:noWrap/>
            <w:hideMark/>
          </w:tcPr>
          <w:p w14:paraId="1FB0239B" w14:textId="77777777" w:rsidR="00E25D70" w:rsidRDefault="00E25D70">
            <w:pPr>
              <w:pStyle w:val="AERtabletextright"/>
            </w:pPr>
            <w:r>
              <w:t>–</w:t>
            </w:r>
          </w:p>
        </w:tc>
        <w:tc>
          <w:tcPr>
            <w:tcW w:w="1002" w:type="dxa"/>
            <w:tcBorders>
              <w:top w:val="nil"/>
              <w:left w:val="nil"/>
              <w:bottom w:val="nil"/>
              <w:right w:val="nil"/>
            </w:tcBorders>
            <w:shd w:val="clear" w:color="auto" w:fill="DBE5F1"/>
            <w:noWrap/>
            <w:hideMark/>
          </w:tcPr>
          <w:p w14:paraId="4352C647" w14:textId="77777777" w:rsidR="00E25D70" w:rsidRDefault="00E25D70">
            <w:pPr>
              <w:pStyle w:val="AERtabletextright"/>
            </w:pPr>
            <w:r>
              <w:t>–</w:t>
            </w:r>
          </w:p>
        </w:tc>
        <w:tc>
          <w:tcPr>
            <w:tcW w:w="1002" w:type="dxa"/>
            <w:tcBorders>
              <w:top w:val="nil"/>
              <w:left w:val="nil"/>
              <w:bottom w:val="nil"/>
              <w:right w:val="nil"/>
            </w:tcBorders>
            <w:shd w:val="clear" w:color="auto" w:fill="DBE5F1"/>
            <w:noWrap/>
            <w:hideMark/>
          </w:tcPr>
          <w:p w14:paraId="598D6AE2" w14:textId="77777777" w:rsidR="00E25D70" w:rsidRDefault="00E25D70">
            <w:pPr>
              <w:pStyle w:val="AERtabletextright"/>
            </w:pPr>
            <w:r>
              <w:t>–</w:t>
            </w:r>
          </w:p>
        </w:tc>
        <w:tc>
          <w:tcPr>
            <w:tcW w:w="1002" w:type="dxa"/>
            <w:tcBorders>
              <w:top w:val="nil"/>
              <w:left w:val="nil"/>
              <w:bottom w:val="nil"/>
              <w:right w:val="nil"/>
            </w:tcBorders>
            <w:shd w:val="clear" w:color="auto" w:fill="DBE5F1"/>
            <w:noWrap/>
            <w:hideMark/>
          </w:tcPr>
          <w:p w14:paraId="214A38D2" w14:textId="77777777" w:rsidR="00E25D70" w:rsidRDefault="00E25D70">
            <w:pPr>
              <w:pStyle w:val="AERtabletextright"/>
            </w:pPr>
            <w:r>
              <w:t>–</w:t>
            </w:r>
          </w:p>
        </w:tc>
      </w:tr>
      <w:tr w:rsidR="00E25D70" w14:paraId="02FDBC39" w14:textId="77777777" w:rsidTr="00E25D70">
        <w:trPr>
          <w:trHeight w:val="454"/>
        </w:trPr>
        <w:tc>
          <w:tcPr>
            <w:tcW w:w="3230" w:type="dxa"/>
            <w:tcBorders>
              <w:top w:val="nil"/>
              <w:left w:val="nil"/>
              <w:bottom w:val="nil"/>
              <w:right w:val="nil"/>
            </w:tcBorders>
            <w:noWrap/>
            <w:vAlign w:val="center"/>
            <w:hideMark/>
          </w:tcPr>
          <w:p w14:paraId="3F91C3BD" w14:textId="77777777" w:rsidR="00E25D70" w:rsidRDefault="00E25D70">
            <w:pPr>
              <w:pStyle w:val="AERtabletextleft"/>
            </w:pPr>
            <w:r>
              <w:t>Net corporate income tax allowance</w:t>
            </w:r>
          </w:p>
        </w:tc>
        <w:tc>
          <w:tcPr>
            <w:tcW w:w="1002" w:type="dxa"/>
            <w:tcBorders>
              <w:top w:val="nil"/>
              <w:left w:val="nil"/>
              <w:bottom w:val="nil"/>
              <w:right w:val="nil"/>
            </w:tcBorders>
            <w:noWrap/>
            <w:hideMark/>
          </w:tcPr>
          <w:p w14:paraId="560EF244" w14:textId="77777777" w:rsidR="00E25D70" w:rsidRDefault="00E25D70">
            <w:pPr>
              <w:pStyle w:val="AERtabletextright"/>
            </w:pPr>
            <w:r>
              <w:t>5.0</w:t>
            </w:r>
          </w:p>
        </w:tc>
        <w:tc>
          <w:tcPr>
            <w:tcW w:w="1002" w:type="dxa"/>
            <w:tcBorders>
              <w:top w:val="nil"/>
              <w:left w:val="nil"/>
              <w:bottom w:val="nil"/>
              <w:right w:val="nil"/>
            </w:tcBorders>
            <w:noWrap/>
            <w:hideMark/>
          </w:tcPr>
          <w:p w14:paraId="1670F4EB" w14:textId="77777777" w:rsidR="00E25D70" w:rsidRDefault="00E25D70">
            <w:pPr>
              <w:pStyle w:val="AERtabletextright"/>
            </w:pPr>
            <w:r>
              <w:t>5.1</w:t>
            </w:r>
          </w:p>
        </w:tc>
        <w:tc>
          <w:tcPr>
            <w:tcW w:w="1002" w:type="dxa"/>
            <w:tcBorders>
              <w:top w:val="nil"/>
              <w:left w:val="nil"/>
              <w:bottom w:val="nil"/>
              <w:right w:val="nil"/>
            </w:tcBorders>
            <w:noWrap/>
            <w:hideMark/>
          </w:tcPr>
          <w:p w14:paraId="0670A986" w14:textId="77777777" w:rsidR="00E25D70" w:rsidRDefault="00E25D70">
            <w:pPr>
              <w:pStyle w:val="AERtabletextright"/>
            </w:pPr>
            <w:r>
              <w:t>5.7</w:t>
            </w:r>
          </w:p>
        </w:tc>
        <w:tc>
          <w:tcPr>
            <w:tcW w:w="1002" w:type="dxa"/>
            <w:tcBorders>
              <w:top w:val="nil"/>
              <w:left w:val="nil"/>
              <w:bottom w:val="nil"/>
              <w:right w:val="nil"/>
            </w:tcBorders>
            <w:noWrap/>
            <w:hideMark/>
          </w:tcPr>
          <w:p w14:paraId="2B243E77" w14:textId="77777777" w:rsidR="00E25D70" w:rsidRDefault="00E25D70">
            <w:pPr>
              <w:pStyle w:val="AERtabletextright"/>
            </w:pPr>
            <w:r>
              <w:t>6.7</w:t>
            </w:r>
          </w:p>
        </w:tc>
        <w:tc>
          <w:tcPr>
            <w:tcW w:w="1002" w:type="dxa"/>
            <w:tcBorders>
              <w:top w:val="nil"/>
              <w:left w:val="nil"/>
              <w:bottom w:val="nil"/>
              <w:right w:val="nil"/>
            </w:tcBorders>
            <w:noWrap/>
            <w:hideMark/>
          </w:tcPr>
          <w:p w14:paraId="287D2B55" w14:textId="77777777" w:rsidR="00E25D70" w:rsidRDefault="00E25D70">
            <w:pPr>
              <w:pStyle w:val="AERtabletextright"/>
            </w:pPr>
            <w:r>
              <w:t>8.1</w:t>
            </w:r>
          </w:p>
        </w:tc>
        <w:tc>
          <w:tcPr>
            <w:tcW w:w="1002" w:type="dxa"/>
            <w:tcBorders>
              <w:top w:val="nil"/>
              <w:left w:val="nil"/>
              <w:bottom w:val="nil"/>
              <w:right w:val="nil"/>
            </w:tcBorders>
            <w:noWrap/>
            <w:hideMark/>
          </w:tcPr>
          <w:p w14:paraId="64F41605" w14:textId="77777777" w:rsidR="00E25D70" w:rsidRDefault="00E25D70">
            <w:pPr>
              <w:pStyle w:val="AERtabletextright"/>
            </w:pPr>
            <w:r>
              <w:t>30.6</w:t>
            </w:r>
          </w:p>
        </w:tc>
      </w:tr>
      <w:tr w:rsidR="00E25D70" w14:paraId="1C9D2EB3" w14:textId="77777777" w:rsidTr="00E25D70">
        <w:trPr>
          <w:trHeight w:val="454"/>
        </w:trPr>
        <w:tc>
          <w:tcPr>
            <w:tcW w:w="3230" w:type="dxa"/>
            <w:tcBorders>
              <w:top w:val="nil"/>
              <w:left w:val="nil"/>
              <w:bottom w:val="nil"/>
              <w:right w:val="nil"/>
            </w:tcBorders>
            <w:shd w:val="clear" w:color="auto" w:fill="DBE5F1"/>
            <w:noWrap/>
            <w:vAlign w:val="center"/>
            <w:hideMark/>
          </w:tcPr>
          <w:p w14:paraId="5B2A9A97" w14:textId="77777777" w:rsidR="00E25D70" w:rsidRDefault="00E25D70">
            <w:pPr>
              <w:pStyle w:val="AERtabletextleft"/>
            </w:pPr>
            <w:r>
              <w:t>Less: ancillary reference service revenues</w:t>
            </w:r>
          </w:p>
        </w:tc>
        <w:tc>
          <w:tcPr>
            <w:tcW w:w="1002" w:type="dxa"/>
            <w:tcBorders>
              <w:top w:val="nil"/>
              <w:left w:val="nil"/>
              <w:bottom w:val="nil"/>
              <w:right w:val="nil"/>
            </w:tcBorders>
            <w:shd w:val="clear" w:color="auto" w:fill="DBE5F1"/>
            <w:noWrap/>
            <w:vAlign w:val="center"/>
            <w:hideMark/>
          </w:tcPr>
          <w:p w14:paraId="0C79826E" w14:textId="77777777" w:rsidR="00E25D70" w:rsidRDefault="00E25D70">
            <w:pPr>
              <w:pStyle w:val="AERtabletextright"/>
            </w:pPr>
            <w:r>
              <w:t>1.5</w:t>
            </w:r>
          </w:p>
        </w:tc>
        <w:tc>
          <w:tcPr>
            <w:tcW w:w="1002" w:type="dxa"/>
            <w:tcBorders>
              <w:top w:val="nil"/>
              <w:left w:val="nil"/>
              <w:bottom w:val="nil"/>
              <w:right w:val="nil"/>
            </w:tcBorders>
            <w:shd w:val="clear" w:color="auto" w:fill="DBE5F1"/>
            <w:noWrap/>
            <w:vAlign w:val="center"/>
            <w:hideMark/>
          </w:tcPr>
          <w:p w14:paraId="2C8D6BD6" w14:textId="77777777" w:rsidR="00E25D70" w:rsidRDefault="00E25D70">
            <w:pPr>
              <w:pStyle w:val="AERtabletextright"/>
            </w:pPr>
            <w:r>
              <w:t>1.5</w:t>
            </w:r>
          </w:p>
        </w:tc>
        <w:tc>
          <w:tcPr>
            <w:tcW w:w="1002" w:type="dxa"/>
            <w:tcBorders>
              <w:top w:val="nil"/>
              <w:left w:val="nil"/>
              <w:bottom w:val="nil"/>
              <w:right w:val="nil"/>
            </w:tcBorders>
            <w:shd w:val="clear" w:color="auto" w:fill="DBE5F1"/>
            <w:noWrap/>
            <w:vAlign w:val="center"/>
            <w:hideMark/>
          </w:tcPr>
          <w:p w14:paraId="486EBB39" w14:textId="77777777" w:rsidR="00E25D70" w:rsidRDefault="00E25D70">
            <w:pPr>
              <w:pStyle w:val="AERtabletextright"/>
            </w:pPr>
            <w:r>
              <w:t>1.6</w:t>
            </w:r>
          </w:p>
        </w:tc>
        <w:tc>
          <w:tcPr>
            <w:tcW w:w="1002" w:type="dxa"/>
            <w:tcBorders>
              <w:top w:val="nil"/>
              <w:left w:val="nil"/>
              <w:bottom w:val="nil"/>
              <w:right w:val="nil"/>
            </w:tcBorders>
            <w:shd w:val="clear" w:color="auto" w:fill="DBE5F1"/>
            <w:noWrap/>
            <w:vAlign w:val="center"/>
            <w:hideMark/>
          </w:tcPr>
          <w:p w14:paraId="5B114250" w14:textId="77777777" w:rsidR="00E25D70" w:rsidRDefault="00E25D70">
            <w:pPr>
              <w:pStyle w:val="AERtabletextright"/>
            </w:pPr>
            <w:r>
              <w:t>1.6</w:t>
            </w:r>
          </w:p>
        </w:tc>
        <w:tc>
          <w:tcPr>
            <w:tcW w:w="1002" w:type="dxa"/>
            <w:tcBorders>
              <w:top w:val="nil"/>
              <w:left w:val="nil"/>
              <w:bottom w:val="nil"/>
              <w:right w:val="nil"/>
            </w:tcBorders>
            <w:shd w:val="clear" w:color="auto" w:fill="DBE5F1"/>
            <w:noWrap/>
            <w:vAlign w:val="center"/>
            <w:hideMark/>
          </w:tcPr>
          <w:p w14:paraId="4029D147" w14:textId="77777777" w:rsidR="00E25D70" w:rsidRDefault="00E25D70">
            <w:pPr>
              <w:pStyle w:val="AERtabletextright"/>
            </w:pPr>
            <w:r>
              <w:t>1.7</w:t>
            </w:r>
          </w:p>
        </w:tc>
        <w:tc>
          <w:tcPr>
            <w:tcW w:w="1002" w:type="dxa"/>
            <w:tcBorders>
              <w:top w:val="nil"/>
              <w:left w:val="nil"/>
              <w:bottom w:val="nil"/>
              <w:right w:val="nil"/>
            </w:tcBorders>
            <w:shd w:val="clear" w:color="auto" w:fill="DBE5F1"/>
            <w:noWrap/>
            <w:vAlign w:val="center"/>
            <w:hideMark/>
          </w:tcPr>
          <w:p w14:paraId="1F4E5EF2" w14:textId="77777777" w:rsidR="00E25D70" w:rsidRDefault="00E25D70">
            <w:pPr>
              <w:pStyle w:val="AERtabletextright"/>
            </w:pPr>
            <w:r>
              <w:t>7.9</w:t>
            </w:r>
          </w:p>
        </w:tc>
      </w:tr>
      <w:tr w:rsidR="00E25D70" w14:paraId="3B874560" w14:textId="77777777" w:rsidTr="00E25D70">
        <w:trPr>
          <w:trHeight w:val="454"/>
        </w:trPr>
        <w:tc>
          <w:tcPr>
            <w:tcW w:w="3230" w:type="dxa"/>
            <w:tcBorders>
              <w:top w:val="nil"/>
              <w:left w:val="nil"/>
              <w:bottom w:val="nil"/>
              <w:right w:val="nil"/>
            </w:tcBorders>
            <w:noWrap/>
            <w:vAlign w:val="center"/>
            <w:hideMark/>
          </w:tcPr>
          <w:p w14:paraId="55155920" w14:textId="77777777" w:rsidR="00E25D70" w:rsidRDefault="00E25D70">
            <w:pPr>
              <w:pStyle w:val="AERtabletextleft"/>
            </w:pPr>
            <w:r>
              <w:lastRenderedPageBreak/>
              <w:t>Annual building block requirement (unsmoothed)</w:t>
            </w:r>
          </w:p>
        </w:tc>
        <w:tc>
          <w:tcPr>
            <w:tcW w:w="1002" w:type="dxa"/>
            <w:tcBorders>
              <w:top w:val="nil"/>
              <w:left w:val="nil"/>
              <w:bottom w:val="nil"/>
              <w:right w:val="nil"/>
            </w:tcBorders>
            <w:noWrap/>
            <w:hideMark/>
          </w:tcPr>
          <w:p w14:paraId="2F090122" w14:textId="77777777" w:rsidR="00E25D70" w:rsidRDefault="00E25D70">
            <w:pPr>
              <w:pStyle w:val="AERtabletextright"/>
            </w:pPr>
            <w:r>
              <w:t>156.6</w:t>
            </w:r>
          </w:p>
        </w:tc>
        <w:tc>
          <w:tcPr>
            <w:tcW w:w="1002" w:type="dxa"/>
            <w:tcBorders>
              <w:top w:val="nil"/>
              <w:left w:val="nil"/>
              <w:bottom w:val="nil"/>
              <w:right w:val="nil"/>
            </w:tcBorders>
            <w:noWrap/>
            <w:hideMark/>
          </w:tcPr>
          <w:p w14:paraId="077D4D65" w14:textId="77777777" w:rsidR="00E25D70" w:rsidRDefault="00E25D70">
            <w:pPr>
              <w:pStyle w:val="AERtabletextright"/>
            </w:pPr>
            <w:r>
              <w:t>175.8</w:t>
            </w:r>
          </w:p>
        </w:tc>
        <w:tc>
          <w:tcPr>
            <w:tcW w:w="1002" w:type="dxa"/>
            <w:tcBorders>
              <w:top w:val="nil"/>
              <w:left w:val="nil"/>
              <w:bottom w:val="nil"/>
              <w:right w:val="nil"/>
            </w:tcBorders>
            <w:noWrap/>
            <w:hideMark/>
          </w:tcPr>
          <w:p w14:paraId="6D0EDF93" w14:textId="77777777" w:rsidR="00E25D70" w:rsidRDefault="00E25D70">
            <w:pPr>
              <w:pStyle w:val="AERtabletextright"/>
            </w:pPr>
            <w:r>
              <w:t>184.6</w:t>
            </w:r>
          </w:p>
        </w:tc>
        <w:tc>
          <w:tcPr>
            <w:tcW w:w="1002" w:type="dxa"/>
            <w:tcBorders>
              <w:top w:val="nil"/>
              <w:left w:val="nil"/>
              <w:bottom w:val="nil"/>
              <w:right w:val="nil"/>
            </w:tcBorders>
            <w:noWrap/>
            <w:hideMark/>
          </w:tcPr>
          <w:p w14:paraId="6EA3F9F8" w14:textId="77777777" w:rsidR="00E25D70" w:rsidRDefault="00E25D70">
            <w:pPr>
              <w:pStyle w:val="AERtabletextright"/>
            </w:pPr>
            <w:r>
              <w:t>191.1</w:t>
            </w:r>
          </w:p>
        </w:tc>
        <w:tc>
          <w:tcPr>
            <w:tcW w:w="1002" w:type="dxa"/>
            <w:tcBorders>
              <w:top w:val="nil"/>
              <w:left w:val="nil"/>
              <w:bottom w:val="nil"/>
              <w:right w:val="nil"/>
            </w:tcBorders>
            <w:noWrap/>
            <w:hideMark/>
          </w:tcPr>
          <w:p w14:paraId="23B98AC5" w14:textId="77777777" w:rsidR="00E25D70" w:rsidRDefault="00E25D70">
            <w:pPr>
              <w:pStyle w:val="AERtabletextright"/>
            </w:pPr>
            <w:r>
              <w:t>200.7</w:t>
            </w:r>
          </w:p>
        </w:tc>
        <w:tc>
          <w:tcPr>
            <w:tcW w:w="1002" w:type="dxa"/>
            <w:tcBorders>
              <w:top w:val="nil"/>
              <w:left w:val="nil"/>
              <w:bottom w:val="nil"/>
              <w:right w:val="nil"/>
            </w:tcBorders>
            <w:noWrap/>
            <w:hideMark/>
          </w:tcPr>
          <w:p w14:paraId="200D5BCB" w14:textId="77777777" w:rsidR="00E25D70" w:rsidRDefault="00E25D70">
            <w:pPr>
              <w:pStyle w:val="AERtabletextright"/>
            </w:pPr>
            <w:r>
              <w:t>908.7</w:t>
            </w:r>
          </w:p>
        </w:tc>
      </w:tr>
      <w:tr w:rsidR="00E25D70" w14:paraId="4E014DCD" w14:textId="77777777" w:rsidTr="00E25D70">
        <w:trPr>
          <w:trHeight w:val="454"/>
        </w:trPr>
        <w:tc>
          <w:tcPr>
            <w:tcW w:w="3230" w:type="dxa"/>
            <w:tcBorders>
              <w:top w:val="nil"/>
              <w:left w:val="nil"/>
              <w:bottom w:val="nil"/>
              <w:right w:val="nil"/>
            </w:tcBorders>
            <w:shd w:val="clear" w:color="auto" w:fill="DBE5F1"/>
            <w:noWrap/>
            <w:vAlign w:val="center"/>
            <w:hideMark/>
          </w:tcPr>
          <w:p w14:paraId="4F7D4A6B" w14:textId="77777777" w:rsidR="00E25D70" w:rsidRDefault="00E25D70">
            <w:pPr>
              <w:pStyle w:val="AERtabletextleft"/>
            </w:pPr>
            <w:r>
              <w:t xml:space="preserve">Annual expected revenue (smoothed) </w:t>
            </w:r>
          </w:p>
        </w:tc>
        <w:tc>
          <w:tcPr>
            <w:tcW w:w="1002" w:type="dxa"/>
            <w:tcBorders>
              <w:top w:val="nil"/>
              <w:left w:val="nil"/>
              <w:bottom w:val="nil"/>
              <w:right w:val="nil"/>
            </w:tcBorders>
            <w:shd w:val="clear" w:color="auto" w:fill="DBE5F1"/>
            <w:noWrap/>
            <w:hideMark/>
          </w:tcPr>
          <w:p w14:paraId="149CBCD8" w14:textId="77777777" w:rsidR="00E25D70" w:rsidRDefault="00E25D70">
            <w:pPr>
              <w:pStyle w:val="AERtabletextright"/>
            </w:pPr>
            <w:r>
              <w:t>174.6</w:t>
            </w:r>
          </w:p>
        </w:tc>
        <w:tc>
          <w:tcPr>
            <w:tcW w:w="1002" w:type="dxa"/>
            <w:tcBorders>
              <w:top w:val="nil"/>
              <w:left w:val="nil"/>
              <w:bottom w:val="nil"/>
              <w:right w:val="nil"/>
            </w:tcBorders>
            <w:shd w:val="clear" w:color="auto" w:fill="DBE5F1"/>
            <w:noWrap/>
            <w:hideMark/>
          </w:tcPr>
          <w:p w14:paraId="5C05795E" w14:textId="77777777" w:rsidR="00E25D70" w:rsidRDefault="00E25D70">
            <w:pPr>
              <w:pStyle w:val="AERtabletextright"/>
            </w:pPr>
            <w:r>
              <w:t>171.5</w:t>
            </w:r>
          </w:p>
        </w:tc>
        <w:tc>
          <w:tcPr>
            <w:tcW w:w="1002" w:type="dxa"/>
            <w:tcBorders>
              <w:top w:val="nil"/>
              <w:left w:val="nil"/>
              <w:bottom w:val="nil"/>
              <w:right w:val="nil"/>
            </w:tcBorders>
            <w:shd w:val="clear" w:color="auto" w:fill="DBE5F1"/>
            <w:noWrap/>
            <w:hideMark/>
          </w:tcPr>
          <w:p w14:paraId="590DEF40" w14:textId="77777777" w:rsidR="00E25D70" w:rsidRDefault="00E25D70">
            <w:pPr>
              <w:pStyle w:val="AERtabletextright"/>
            </w:pPr>
            <w:r>
              <w:t>178.1</w:t>
            </w:r>
          </w:p>
        </w:tc>
        <w:tc>
          <w:tcPr>
            <w:tcW w:w="1002" w:type="dxa"/>
            <w:tcBorders>
              <w:top w:val="nil"/>
              <w:left w:val="nil"/>
              <w:bottom w:val="nil"/>
              <w:right w:val="nil"/>
            </w:tcBorders>
            <w:shd w:val="clear" w:color="auto" w:fill="DBE5F1"/>
            <w:noWrap/>
            <w:hideMark/>
          </w:tcPr>
          <w:p w14:paraId="06A05DDE" w14:textId="77777777" w:rsidR="00E25D70" w:rsidRDefault="00E25D70">
            <w:pPr>
              <w:pStyle w:val="AERtabletextright"/>
            </w:pPr>
            <w:r>
              <w:t>186.4</w:t>
            </w:r>
          </w:p>
        </w:tc>
        <w:tc>
          <w:tcPr>
            <w:tcW w:w="1002" w:type="dxa"/>
            <w:tcBorders>
              <w:top w:val="nil"/>
              <w:left w:val="nil"/>
              <w:bottom w:val="nil"/>
              <w:right w:val="nil"/>
            </w:tcBorders>
            <w:shd w:val="clear" w:color="auto" w:fill="DBE5F1"/>
            <w:noWrap/>
            <w:hideMark/>
          </w:tcPr>
          <w:p w14:paraId="513DCB8A" w14:textId="77777777" w:rsidR="00E25D70" w:rsidRDefault="00E25D70">
            <w:pPr>
              <w:pStyle w:val="AERtabletextright"/>
            </w:pPr>
            <w:r>
              <w:t>194.7</w:t>
            </w:r>
          </w:p>
        </w:tc>
        <w:tc>
          <w:tcPr>
            <w:tcW w:w="1002" w:type="dxa"/>
            <w:tcBorders>
              <w:top w:val="nil"/>
              <w:left w:val="nil"/>
              <w:bottom w:val="nil"/>
              <w:right w:val="nil"/>
            </w:tcBorders>
            <w:shd w:val="clear" w:color="auto" w:fill="DBE5F1"/>
            <w:noWrap/>
            <w:hideMark/>
          </w:tcPr>
          <w:p w14:paraId="4AB64852" w14:textId="77777777" w:rsidR="00E25D70" w:rsidRDefault="00E25D70">
            <w:pPr>
              <w:pStyle w:val="AERtabletextright"/>
            </w:pPr>
            <w:r>
              <w:t>905.3</w:t>
            </w:r>
          </w:p>
        </w:tc>
      </w:tr>
      <w:tr w:rsidR="00E25D70" w14:paraId="0F709EB6" w14:textId="77777777" w:rsidTr="00E25D70">
        <w:trPr>
          <w:trHeight w:val="454"/>
        </w:trPr>
        <w:tc>
          <w:tcPr>
            <w:tcW w:w="3230" w:type="dxa"/>
            <w:tcBorders>
              <w:top w:val="nil"/>
              <w:left w:val="nil"/>
              <w:bottom w:val="single" w:sz="4" w:space="0" w:color="365F91"/>
              <w:right w:val="nil"/>
            </w:tcBorders>
            <w:noWrap/>
            <w:vAlign w:val="center"/>
            <w:hideMark/>
          </w:tcPr>
          <w:p w14:paraId="23128D69" w14:textId="77777777" w:rsidR="00E25D70" w:rsidRDefault="00E25D70">
            <w:pPr>
              <w:pStyle w:val="AERtabletextleft"/>
            </w:pPr>
            <w:r>
              <w:t xml:space="preserve">X factor </w:t>
            </w:r>
          </w:p>
        </w:tc>
        <w:tc>
          <w:tcPr>
            <w:tcW w:w="1002" w:type="dxa"/>
            <w:tcBorders>
              <w:top w:val="nil"/>
              <w:left w:val="nil"/>
              <w:bottom w:val="single" w:sz="4" w:space="0" w:color="365F91"/>
              <w:right w:val="nil"/>
            </w:tcBorders>
            <w:noWrap/>
            <w:vAlign w:val="center"/>
            <w:hideMark/>
          </w:tcPr>
          <w:p w14:paraId="19C7CA1E" w14:textId="77777777" w:rsidR="00E25D70" w:rsidRDefault="00E25D70">
            <w:pPr>
              <w:pStyle w:val="AERtabletextright"/>
            </w:pPr>
            <w:r>
              <w:t>13.28%</w:t>
            </w:r>
          </w:p>
        </w:tc>
        <w:tc>
          <w:tcPr>
            <w:tcW w:w="1002" w:type="dxa"/>
            <w:tcBorders>
              <w:top w:val="nil"/>
              <w:left w:val="nil"/>
              <w:bottom w:val="single" w:sz="4" w:space="0" w:color="365F91"/>
              <w:right w:val="nil"/>
            </w:tcBorders>
            <w:noWrap/>
            <w:vAlign w:val="center"/>
            <w:hideMark/>
          </w:tcPr>
          <w:p w14:paraId="20A193A1" w14:textId="77777777" w:rsidR="00E25D70" w:rsidRDefault="00E25D70">
            <w:pPr>
              <w:pStyle w:val="AERtabletextright"/>
            </w:pPr>
            <w:r>
              <w:t>-1.53%</w:t>
            </w:r>
          </w:p>
        </w:tc>
        <w:tc>
          <w:tcPr>
            <w:tcW w:w="1002" w:type="dxa"/>
            <w:tcBorders>
              <w:top w:val="nil"/>
              <w:left w:val="nil"/>
              <w:bottom w:val="single" w:sz="4" w:space="0" w:color="365F91"/>
              <w:right w:val="nil"/>
            </w:tcBorders>
            <w:noWrap/>
            <w:vAlign w:val="center"/>
            <w:hideMark/>
          </w:tcPr>
          <w:p w14:paraId="71A939D6" w14:textId="77777777" w:rsidR="00E25D70" w:rsidRDefault="00E25D70">
            <w:pPr>
              <w:pStyle w:val="AERtabletextright"/>
            </w:pPr>
            <w:r>
              <w:rPr>
                <w:rFonts w:cs="Gautami"/>
              </w:rPr>
              <w:t>–1.50</w:t>
            </w:r>
            <w:r>
              <w:t>%</w:t>
            </w:r>
          </w:p>
        </w:tc>
        <w:tc>
          <w:tcPr>
            <w:tcW w:w="1002" w:type="dxa"/>
            <w:tcBorders>
              <w:top w:val="nil"/>
              <w:left w:val="nil"/>
              <w:bottom w:val="single" w:sz="4" w:space="0" w:color="365F91"/>
              <w:right w:val="nil"/>
            </w:tcBorders>
            <w:noWrap/>
            <w:vAlign w:val="center"/>
            <w:hideMark/>
          </w:tcPr>
          <w:p w14:paraId="041CC959" w14:textId="77777777" w:rsidR="00E25D70" w:rsidRDefault="00E25D70">
            <w:pPr>
              <w:pStyle w:val="AERtabletextright"/>
            </w:pPr>
            <w:r>
              <w:t>–2.00%</w:t>
            </w:r>
          </w:p>
        </w:tc>
        <w:tc>
          <w:tcPr>
            <w:tcW w:w="1002" w:type="dxa"/>
            <w:tcBorders>
              <w:top w:val="nil"/>
              <w:left w:val="nil"/>
              <w:bottom w:val="single" w:sz="4" w:space="0" w:color="365F91"/>
              <w:right w:val="nil"/>
            </w:tcBorders>
            <w:noWrap/>
            <w:vAlign w:val="center"/>
            <w:hideMark/>
          </w:tcPr>
          <w:p w14:paraId="5F64FF85" w14:textId="77777777" w:rsidR="00E25D70" w:rsidRDefault="00E25D70">
            <w:pPr>
              <w:pStyle w:val="AERtabletextright"/>
            </w:pPr>
            <w:r>
              <w:t>–2.00%</w:t>
            </w:r>
          </w:p>
        </w:tc>
        <w:tc>
          <w:tcPr>
            <w:tcW w:w="1002" w:type="dxa"/>
            <w:tcBorders>
              <w:top w:val="nil"/>
              <w:left w:val="nil"/>
              <w:bottom w:val="single" w:sz="4" w:space="0" w:color="365F91"/>
              <w:right w:val="nil"/>
            </w:tcBorders>
            <w:noWrap/>
            <w:vAlign w:val="center"/>
            <w:hideMark/>
          </w:tcPr>
          <w:p w14:paraId="40AB8741" w14:textId="77777777" w:rsidR="00E25D70" w:rsidRDefault="00E25D70">
            <w:pPr>
              <w:pStyle w:val="AERtabletextright"/>
            </w:pPr>
            <w:r>
              <w:t>n/a</w:t>
            </w:r>
          </w:p>
        </w:tc>
      </w:tr>
    </w:tbl>
    <w:p w14:paraId="6E855447" w14:textId="77777777" w:rsidR="00E25D70" w:rsidRDefault="00E25D70" w:rsidP="00E25D70">
      <w:pPr>
        <w:pStyle w:val="AERtablesource"/>
      </w:pPr>
      <w:r>
        <w:t>Source:</w:t>
      </w:r>
      <w:r>
        <w:tab/>
        <w:t>AER analysis.</w:t>
      </w:r>
    </w:p>
    <w:p w14:paraId="0BFF0F6C" w14:textId="77777777" w:rsidR="00E25D70" w:rsidRPr="00E25D70" w:rsidRDefault="00E25D70" w:rsidP="00E25D70">
      <w:pPr>
        <w:pStyle w:val="Heading1"/>
        <w:numPr>
          <w:ilvl w:val="1"/>
          <w:numId w:val="46"/>
        </w:numPr>
        <w:rPr>
          <w:rStyle w:val="AERbody"/>
          <w:color w:val="E36C0A"/>
          <w:sz w:val="36"/>
        </w:rPr>
      </w:pPr>
      <w:bookmarkStart w:id="28" w:name="_Toc368044966"/>
      <w:r w:rsidRPr="00E25D70">
        <w:rPr>
          <w:rStyle w:val="AERbody"/>
          <w:color w:val="E36C0A"/>
          <w:sz w:val="36"/>
        </w:rPr>
        <w:lastRenderedPageBreak/>
        <w:t>Reference tariffs</w:t>
      </w:r>
      <w:bookmarkEnd w:id="28"/>
    </w:p>
    <w:p w14:paraId="52FF5DCD" w14:textId="77777777" w:rsidR="00E25D70" w:rsidRDefault="00E25D70" w:rsidP="00E25D70">
      <w:pPr>
        <w:rPr>
          <w:rStyle w:val="AERbody"/>
        </w:rPr>
      </w:pPr>
      <w:r>
        <w:rPr>
          <w:rStyle w:val="AERbody"/>
        </w:rPr>
        <w:t>The tariffs charged for Multinet’s reference services give it the opportunity to recover at least its total revenue requirement in the access arrangement period (reflecting its efficient cost). Multinet’s total revenue requirement has increased due to its higher opening capital base allowed in this decision. Consequently, reference tariffs need to be adjusted to reflect the new total revenue requirement.</w:t>
      </w:r>
    </w:p>
    <w:p w14:paraId="29BE6AD3" w14:textId="77777777" w:rsidR="00E25D70" w:rsidRPr="00E25D70" w:rsidRDefault="00E25D70" w:rsidP="00E25D70">
      <w:pPr>
        <w:pStyle w:val="Heading2"/>
        <w:numPr>
          <w:ilvl w:val="2"/>
          <w:numId w:val="46"/>
        </w:numPr>
        <w:rPr>
          <w:rStyle w:val="AERbody"/>
          <w:color w:val="E36C0A"/>
          <w:sz w:val="28"/>
        </w:rPr>
      </w:pPr>
      <w:bookmarkStart w:id="29" w:name="_Toc368044967"/>
      <w:r w:rsidRPr="00E25D70">
        <w:rPr>
          <w:rStyle w:val="AERbody"/>
          <w:color w:val="E36C0A"/>
          <w:sz w:val="28"/>
        </w:rPr>
        <w:t>Decision</w:t>
      </w:r>
      <w:bookmarkEnd w:id="29"/>
    </w:p>
    <w:p w14:paraId="0914E2F8" w14:textId="77777777" w:rsidR="00E25D70" w:rsidRDefault="00E25D70" w:rsidP="00E25D70">
      <w:pPr>
        <w:rPr>
          <w:rStyle w:val="AERbody"/>
        </w:rPr>
      </w:pPr>
      <w:r>
        <w:rPr>
          <w:rStyle w:val="AERbody"/>
        </w:rPr>
        <w:t>The AER proposes revisions to the X factors to adjust the tariffs from 2014 reflecting its decision on the opening capital base, as shown in Figure 6.1. The AER’s decision on the revised X factors will result in average reference service distribution charges that are 3.2 per cent higher than average reference service charges per GJ for the 2008–12 access arrangement period.</w:t>
      </w:r>
    </w:p>
    <w:p w14:paraId="0153EE0F" w14:textId="77777777" w:rsidR="00E25D70" w:rsidRDefault="00E25D70" w:rsidP="00E25D70">
      <w:pPr>
        <w:rPr>
          <w:rStyle w:val="AERtextbold"/>
        </w:rPr>
      </w:pPr>
      <w:r>
        <w:rPr>
          <w:rStyle w:val="AERtextbold"/>
        </w:rPr>
        <w:t>Figure 6.1</w:t>
      </w:r>
      <w:r>
        <w:rPr>
          <w:rStyle w:val="AERtextbold"/>
        </w:rPr>
        <w:tab/>
        <w:t xml:space="preserve">Indicative reference paths for Multinet’s reference services from 2013 to 2017 </w:t>
      </w:r>
      <w:r>
        <w:rPr>
          <w:rStyle w:val="AERtextbold"/>
        </w:rPr>
        <w:tab/>
      </w:r>
      <w:r>
        <w:rPr>
          <w:rStyle w:val="AERtextbold"/>
        </w:rPr>
        <w:tab/>
        <w:t>($/GJ)</w:t>
      </w:r>
    </w:p>
    <w:p w14:paraId="0BE05E24" w14:textId="77777777" w:rsidR="00E25D70" w:rsidRDefault="00E25D70" w:rsidP="00E25D70">
      <w:pPr>
        <w:rPr>
          <w:rStyle w:val="AERtextbold"/>
        </w:rPr>
      </w:pPr>
      <w:r>
        <w:rPr>
          <w:noProof/>
          <w:lang w:eastAsia="en-AU"/>
        </w:rPr>
        <w:drawing>
          <wp:inline distT="0" distB="0" distL="0" distR="0" wp14:anchorId="3F470397" wp14:editId="22619B83">
            <wp:extent cx="5069205" cy="3591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69205" cy="3591560"/>
                    </a:xfrm>
                    <a:prstGeom prst="rect">
                      <a:avLst/>
                    </a:prstGeom>
                    <a:noFill/>
                    <a:ln>
                      <a:noFill/>
                    </a:ln>
                  </pic:spPr>
                </pic:pic>
              </a:graphicData>
            </a:graphic>
          </wp:inline>
        </w:drawing>
      </w:r>
    </w:p>
    <w:p w14:paraId="39883065" w14:textId="77777777" w:rsidR="00E25D70" w:rsidRDefault="00E25D70" w:rsidP="00E25D70">
      <w:pPr>
        <w:pStyle w:val="AERtablesource"/>
      </w:pPr>
      <w:r>
        <w:t>Source:</w:t>
      </w:r>
      <w:r>
        <w:tab/>
        <w:t>AER Analysis.</w:t>
      </w:r>
    </w:p>
    <w:p w14:paraId="38B56334" w14:textId="77777777" w:rsidR="00E25D70" w:rsidRDefault="00E25D70" w:rsidP="00E25D70">
      <w:pPr>
        <w:pStyle w:val="AERtablesource"/>
      </w:pPr>
      <w:r>
        <w:t xml:space="preserve">Note: </w:t>
      </w:r>
      <w:r>
        <w:tab/>
        <w:t>This chart shows an indicative tariff path, based on forecast revenues and forecast demand for Multinet’s network.</w:t>
      </w:r>
    </w:p>
    <w:p w14:paraId="21AB8F38" w14:textId="77777777" w:rsidR="00E25D70" w:rsidRDefault="00E25D70" w:rsidP="00E25D70">
      <w:pPr>
        <w:rPr>
          <w:rStyle w:val="AERtextbold"/>
        </w:rPr>
      </w:pPr>
    </w:p>
    <w:p w14:paraId="4DA21C34" w14:textId="77777777" w:rsidR="00E25D70" w:rsidRDefault="00E25D70" w:rsidP="00E25D70">
      <w:pPr>
        <w:pStyle w:val="Caption"/>
      </w:pPr>
    </w:p>
    <w:p w14:paraId="5F20CDF5" w14:textId="77777777" w:rsidR="00E25D70" w:rsidRDefault="00E25D70" w:rsidP="00E25D70">
      <w:pPr>
        <w:rPr>
          <w:rStyle w:val="AERtextbold"/>
        </w:rPr>
      </w:pPr>
    </w:p>
    <w:p w14:paraId="088A0C65" w14:textId="77777777" w:rsidR="00E25D70" w:rsidRDefault="00E25D70" w:rsidP="00E25D70">
      <w:pPr>
        <w:rPr>
          <w:rStyle w:val="AERbody"/>
        </w:rPr>
      </w:pPr>
    </w:p>
    <w:p w14:paraId="330A30BF" w14:textId="77777777" w:rsidR="005C5D50" w:rsidRPr="00277752" w:rsidRDefault="005C5D50" w:rsidP="00277752"/>
    <w:sectPr w:rsidR="005C5D50" w:rsidRPr="00277752" w:rsidSect="00053206">
      <w:footerReference w:type="even"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9A0C1" w14:textId="77777777" w:rsidR="00DC703F" w:rsidRPr="00AB4345" w:rsidRDefault="00DC703F" w:rsidP="00AB4345">
      <w:r>
        <w:separator/>
      </w:r>
    </w:p>
  </w:endnote>
  <w:endnote w:type="continuationSeparator" w:id="0">
    <w:p w14:paraId="13620442" w14:textId="77777777" w:rsidR="00DC703F" w:rsidRPr="00AB4345" w:rsidRDefault="00DC703F"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swiss"/>
    <w:pitch w:val="variable"/>
    <w:sig w:usb0="002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F4ECD" w14:textId="77777777" w:rsidR="00DC703F" w:rsidRPr="00824CC8" w:rsidRDefault="00DC703F" w:rsidP="00824CC8">
    <w:pPr>
      <w:pStyle w:val="Footer"/>
    </w:pP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Pr>
        <w:rStyle w:val="AERbody"/>
        <w:noProof/>
      </w:rPr>
      <w:t>2</w:t>
    </w:r>
    <w:r w:rsidRPr="00824CC8">
      <w:rPr>
        <w:rStyle w:val="AERbody"/>
      </w:rPr>
      <w:fldChar w:fldCharType="end"/>
    </w:r>
    <w:r w:rsidRPr="00824CC8">
      <w:rPr>
        <w:rStyle w:val="AERbody"/>
      </w:rPr>
      <w:tab/>
    </w:r>
    <w:r>
      <w:rPr>
        <w:rStyle w:val="AERbody"/>
      </w:rPr>
      <w:t>Multinet 2013–17 access arrangement</w:t>
    </w:r>
    <w:r w:rsidRPr="00824CC8">
      <w:rPr>
        <w:rStyle w:val="AERbody"/>
      </w:rPr>
      <w:t xml:space="preserve"> | </w:t>
    </w:r>
    <w:r>
      <w:rPr>
        <w:rStyle w:val="AERbody"/>
      </w:rPr>
      <w:t>2012 capital expenditure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BCB26" w14:textId="77777777" w:rsidR="00DC703F" w:rsidRPr="00824CC8" w:rsidRDefault="00DC703F" w:rsidP="00824CC8">
    <w:pPr>
      <w:pStyle w:val="Footer"/>
    </w:pPr>
    <w:r>
      <w:rPr>
        <w:rStyle w:val="AERbody"/>
      </w:rPr>
      <w:t>Multinet 2013–17 access arrangement</w:t>
    </w:r>
    <w:r w:rsidRPr="00824CC8">
      <w:rPr>
        <w:rStyle w:val="AERbody"/>
      </w:rPr>
      <w:t xml:space="preserve"> | </w:t>
    </w:r>
    <w:r>
      <w:rPr>
        <w:rStyle w:val="AERbody"/>
      </w:rPr>
      <w:t>Opening capital base</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560658">
      <w:rPr>
        <w:rStyle w:val="AERbody"/>
        <w:noProof/>
      </w:rPr>
      <w:t>1</w:t>
    </w:r>
    <w:r w:rsidRPr="00824CC8">
      <w:rPr>
        <w:rStyle w:val="AERbody"/>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4882516"/>
      <w:docPartObj>
        <w:docPartGallery w:val="Page Numbers (Bottom of Page)"/>
        <w:docPartUnique/>
      </w:docPartObj>
    </w:sdtPr>
    <w:sdtEndPr/>
    <w:sdtContent>
      <w:p w14:paraId="4D8BD9A5" w14:textId="77777777" w:rsidR="00DC703F" w:rsidRPr="00824CC8" w:rsidRDefault="00DC703F" w:rsidP="00824CC8">
        <w:pPr>
          <w:pStyle w:val="Footer"/>
        </w:pPr>
        <w:r w:rsidRPr="00824CC8">
          <w:fldChar w:fldCharType="begin"/>
        </w:r>
        <w:r w:rsidRPr="00824CC8">
          <w:instrText xml:space="preserve"> PAGE   \* MERGEFORMAT </w:instrText>
        </w:r>
        <w:r w:rsidRPr="00824CC8">
          <w:fldChar w:fldCharType="separate"/>
        </w:r>
        <w:r>
          <w:rPr>
            <w:noProof/>
          </w:rPr>
          <w:t>6</w:t>
        </w:r>
        <w:r w:rsidRPr="00824CC8">
          <w:fldChar w:fldCharType="end"/>
        </w:r>
        <w:r w:rsidRPr="00824CC8">
          <w:tab/>
        </w:r>
        <w:r w:rsidRPr="00824CC8">
          <w:rPr>
            <w:rStyle w:val="AERbody"/>
          </w:rPr>
          <w:t>Attachment heading | Distribution/transmission determination heading</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EAE52" w14:textId="77777777" w:rsidR="00DC703F" w:rsidRPr="00824CC8" w:rsidRDefault="00DC703F" w:rsidP="00053206">
    <w:pPr>
      <w:pStyle w:val="Footer"/>
    </w:pPr>
    <w:r w:rsidRPr="00E32783">
      <w:rPr>
        <w:rStyle w:val="AERtextblue"/>
      </w:rPr>
      <w:t>Multinet 2013–17 access arrangement |</w:t>
    </w:r>
    <w:r w:rsidRPr="00824CC8">
      <w:rPr>
        <w:rStyle w:val="AERbody"/>
      </w:rPr>
      <w:t xml:space="preserve"> </w:t>
    </w:r>
    <w:r w:rsidRPr="00E32783">
      <w:rPr>
        <w:rStyle w:val="AERtextorange"/>
      </w:rPr>
      <w:t>Opening capital base</w:t>
    </w:r>
  </w:p>
  <w:p w14:paraId="09724C85" w14:textId="77777777" w:rsidR="00DC703F" w:rsidRPr="00824CC8" w:rsidRDefault="00DC703F" w:rsidP="00824CC8">
    <w:pPr>
      <w:pStyle w:val="Footer"/>
      <w:rPr>
        <w:rStyle w:val="AERbody"/>
      </w:rPr>
    </w:pP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560658">
      <w:rPr>
        <w:rStyle w:val="AERbody"/>
        <w:noProof/>
      </w:rPr>
      <w:t>16</w:t>
    </w:r>
    <w:r w:rsidRPr="00824CC8">
      <w:rPr>
        <w:rStyle w:val="AERbod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68B4E" w14:textId="77777777" w:rsidR="00DC703F" w:rsidRPr="00AB4345" w:rsidRDefault="00DC703F" w:rsidP="00AB4345">
      <w:r>
        <w:separator/>
      </w:r>
    </w:p>
  </w:footnote>
  <w:footnote w:type="continuationSeparator" w:id="0">
    <w:p w14:paraId="1729146F" w14:textId="77777777" w:rsidR="00DC703F" w:rsidRPr="00AB4345" w:rsidRDefault="00DC703F" w:rsidP="00AB4345">
      <w:r>
        <w:continuationSeparator/>
      </w:r>
    </w:p>
  </w:footnote>
  <w:footnote w:id="1">
    <w:p w14:paraId="05F6F044" w14:textId="77777777" w:rsidR="00DC703F" w:rsidRDefault="00DC703F" w:rsidP="008E0BAD">
      <w:pPr>
        <w:pStyle w:val="FootnoteText"/>
      </w:pPr>
      <w:r>
        <w:rPr>
          <w:rStyle w:val="FootnoteReference"/>
        </w:rPr>
        <w:footnoteRef/>
      </w:r>
      <w:r>
        <w:t xml:space="preserve"> </w:t>
      </w:r>
      <w:r>
        <w:tab/>
        <w:t xml:space="preserve">AER, </w:t>
      </w:r>
      <w:r>
        <w:rPr>
          <w:rStyle w:val="AERtextitalic"/>
        </w:rPr>
        <w:t>final decision, Multinet access arrangement proposal for 1 January 2013 – 31 December 2017, Part 2 Attachments,</w:t>
      </w:r>
      <w:r>
        <w:t xml:space="preserve"> March 2013. p.23.</w:t>
      </w:r>
    </w:p>
  </w:footnote>
  <w:footnote w:id="2">
    <w:p w14:paraId="6D6C1407" w14:textId="77777777" w:rsidR="00DC703F" w:rsidRDefault="00DC703F">
      <w:pPr>
        <w:pStyle w:val="FootnoteText"/>
      </w:pPr>
      <w:r>
        <w:rPr>
          <w:rStyle w:val="FootnoteReference"/>
        </w:rPr>
        <w:footnoteRef/>
      </w:r>
      <w:r>
        <w:t xml:space="preserve"> </w:t>
      </w:r>
      <w:r>
        <w:tab/>
        <w:t xml:space="preserve">NGR. r. </w:t>
      </w:r>
      <w:r w:rsidRPr="000C405E">
        <w:t>77(2)(b).</w:t>
      </w:r>
    </w:p>
  </w:footnote>
  <w:footnote w:id="3">
    <w:p w14:paraId="66493AA4" w14:textId="77777777" w:rsidR="00DC703F" w:rsidRDefault="00DC703F">
      <w:pPr>
        <w:pStyle w:val="FootnoteText"/>
      </w:pPr>
      <w:r>
        <w:rPr>
          <w:rStyle w:val="FootnoteReference"/>
        </w:rPr>
        <w:footnoteRef/>
      </w:r>
      <w:r>
        <w:t xml:space="preserve"> </w:t>
      </w:r>
      <w:r>
        <w:tab/>
        <w:t xml:space="preserve">NGR, r. 40(2), r. 79(6). </w:t>
      </w:r>
    </w:p>
  </w:footnote>
  <w:footnote w:id="4">
    <w:p w14:paraId="225B8736" w14:textId="77777777" w:rsidR="00DC703F" w:rsidRDefault="00DC703F">
      <w:pPr>
        <w:pStyle w:val="FootnoteText"/>
      </w:pPr>
      <w:r>
        <w:rPr>
          <w:rStyle w:val="FootnoteReference"/>
        </w:rPr>
        <w:footnoteRef/>
      </w:r>
      <w:r>
        <w:t xml:space="preserve"> </w:t>
      </w:r>
      <w:r>
        <w:tab/>
        <w:t>Multinet, Email entitled ‘</w:t>
      </w:r>
      <w:r w:rsidRPr="001E4CE8">
        <w:t>Residential connections</w:t>
      </w:r>
      <w:r>
        <w:t>’ received 15 August 2013.</w:t>
      </w:r>
    </w:p>
  </w:footnote>
  <w:footnote w:id="5">
    <w:p w14:paraId="2C5EF018" w14:textId="77777777" w:rsidR="00DC703F" w:rsidRDefault="00DC703F">
      <w:pPr>
        <w:pStyle w:val="FootnoteText"/>
      </w:pPr>
      <w:r>
        <w:rPr>
          <w:rStyle w:val="FootnoteReference"/>
        </w:rPr>
        <w:footnoteRef/>
      </w:r>
      <w:r>
        <w:t xml:space="preserve"> </w:t>
      </w:r>
      <w:r>
        <w:tab/>
        <w:t>AER, Email to Multinet entitled ‘</w:t>
      </w:r>
      <w:r w:rsidRPr="001E4CE8">
        <w:t>Multinet conforming capex - information request 2</w:t>
      </w:r>
      <w:r>
        <w:t>’ sent 23 August 2013</w:t>
      </w:r>
    </w:p>
  </w:footnote>
  <w:footnote w:id="6">
    <w:p w14:paraId="512D9B84" w14:textId="77777777" w:rsidR="00DC703F" w:rsidRDefault="00DC703F">
      <w:pPr>
        <w:pStyle w:val="FootnoteText"/>
      </w:pPr>
      <w:r>
        <w:rPr>
          <w:rStyle w:val="FootnoteReference"/>
        </w:rPr>
        <w:footnoteRef/>
      </w:r>
      <w:r>
        <w:t xml:space="preserve"> </w:t>
      </w:r>
      <w:r>
        <w:tab/>
        <w:t xml:space="preserve">Essential Services Commission of Victoria, </w:t>
      </w:r>
      <w:r w:rsidRPr="003E5A68">
        <w:rPr>
          <w:rStyle w:val="AERtextitalic"/>
        </w:rPr>
        <w:t>Final decision: Gas Access Arrangement Review 2008–12</w:t>
      </w:r>
      <w:r>
        <w:t>, 7 March 2008, p. 421.</w:t>
      </w:r>
    </w:p>
  </w:footnote>
  <w:footnote w:id="7">
    <w:p w14:paraId="5DB3E5C7" w14:textId="77777777" w:rsidR="00DC703F" w:rsidRDefault="00DC703F">
      <w:pPr>
        <w:pStyle w:val="FootnoteText"/>
      </w:pPr>
      <w:r>
        <w:rPr>
          <w:rStyle w:val="FootnoteReference"/>
        </w:rPr>
        <w:footnoteRef/>
      </w:r>
      <w:r>
        <w:t xml:space="preserve"> </w:t>
      </w:r>
      <w:r>
        <w:tab/>
      </w:r>
      <w:r w:rsidRPr="001E4CE8">
        <w:t>Deloitte Touche Tohmatsu, 2012 Actual IT capital Expenditure review, report prepared for Multinet, 8 August 2013</w:t>
      </w:r>
    </w:p>
  </w:footnote>
  <w:footnote w:id="8">
    <w:p w14:paraId="5982E06D" w14:textId="77777777" w:rsidR="00DC703F" w:rsidRDefault="00DC703F">
      <w:pPr>
        <w:pStyle w:val="FootnoteText"/>
      </w:pPr>
      <w:r>
        <w:rPr>
          <w:rStyle w:val="FootnoteReference"/>
        </w:rPr>
        <w:footnoteRef/>
      </w:r>
      <w:r>
        <w:t xml:space="preserve"> </w:t>
      </w:r>
      <w:r>
        <w:tab/>
        <w:t>The AER included forecast capital expenditure for these two projects as part of the 2013–17 access arrangement review. During that review, the AER considered that the projects would be carried out by a prudent service provider.</w:t>
      </w:r>
    </w:p>
  </w:footnote>
  <w:footnote w:id="9">
    <w:p w14:paraId="0CE8AD56" w14:textId="77777777" w:rsidR="00DC703F" w:rsidRDefault="00DC703F">
      <w:pPr>
        <w:pStyle w:val="FootnoteText"/>
      </w:pPr>
      <w:r>
        <w:rPr>
          <w:rStyle w:val="FootnoteReference"/>
        </w:rPr>
        <w:footnoteRef/>
      </w:r>
      <w:r>
        <w:t xml:space="preserve"> </w:t>
      </w:r>
      <w:r>
        <w:tab/>
        <w:t>Nous Group, updated review of Multinet Gas 2012 IT capital expenditure, report prepared for the AER, 6 September 2013.</w:t>
      </w:r>
    </w:p>
  </w:footnote>
  <w:footnote w:id="10">
    <w:p w14:paraId="554E79C2" w14:textId="77777777" w:rsidR="00DC703F" w:rsidRDefault="00DC703F">
      <w:pPr>
        <w:pStyle w:val="FootnoteText"/>
      </w:pPr>
      <w:r>
        <w:rPr>
          <w:rStyle w:val="FootnoteReference"/>
        </w:rPr>
        <w:footnoteRef/>
      </w:r>
      <w:r>
        <w:t xml:space="preserve"> </w:t>
      </w:r>
      <w:r>
        <w:tab/>
        <w:t>Multinet, Multinet’s comments on the Nous Group report to the AER, 12 September 2013.</w:t>
      </w:r>
    </w:p>
  </w:footnote>
  <w:footnote w:id="11">
    <w:p w14:paraId="3EA1E630" w14:textId="77777777" w:rsidR="00DC703F" w:rsidRDefault="00DC703F">
      <w:pPr>
        <w:pStyle w:val="FootnoteText"/>
      </w:pPr>
      <w:r>
        <w:rPr>
          <w:rStyle w:val="FootnoteReference"/>
        </w:rPr>
        <w:footnoteRef/>
      </w:r>
      <w:r>
        <w:t xml:space="preserve"> </w:t>
      </w:r>
      <w:r>
        <w:tab/>
        <w:t>Nous Group, response to Multinet’s further information of 12 September 2013, 27 September 2013.</w:t>
      </w:r>
    </w:p>
  </w:footnote>
  <w:footnote w:id="12">
    <w:p w14:paraId="640889B1" w14:textId="77777777" w:rsidR="00DC703F" w:rsidRDefault="00DC703F" w:rsidP="00E25D70">
      <w:pPr>
        <w:pStyle w:val="FootnoteText"/>
      </w:pPr>
      <w:r>
        <w:rPr>
          <w:rStyle w:val="FootnoteReference"/>
        </w:rPr>
        <w:footnoteRef/>
      </w:r>
      <w:r>
        <w:t xml:space="preserve"> </w:t>
      </w:r>
      <w:r>
        <w:tab/>
        <w:t>The AER uses the building block approach to determine the total revenue requirement. This approach is set out in Part 1 of the AER's final decision on Multinet's access arrangement for 2013–17.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3E63"/>
    <w:multiLevelType w:val="multilevel"/>
    <w:tmpl w:val="950A1C52"/>
    <w:numStyleLink w:val="AERHeadings"/>
  </w:abstractNum>
  <w:abstractNum w:abstractNumId="1" w15:restartNumberingAfterBreak="0">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15:restartNumberingAfterBreak="0">
    <w:nsid w:val="0B102140"/>
    <w:multiLevelType w:val="multilevel"/>
    <w:tmpl w:val="B478DFE6"/>
    <w:numStyleLink w:val="AERnumberedlist"/>
  </w:abstractNum>
  <w:abstractNum w:abstractNumId="3" w15:restartNumberingAfterBreak="0">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15:restartNumberingAfterBreak="0">
    <w:nsid w:val="13597CF9"/>
    <w:multiLevelType w:val="multilevel"/>
    <w:tmpl w:val="B478DFE6"/>
    <w:numStyleLink w:val="AERnumberedlist"/>
  </w:abstractNum>
  <w:abstractNum w:abstractNumId="5" w15:restartNumberingAfterBreak="0">
    <w:nsid w:val="176B27A6"/>
    <w:multiLevelType w:val="multilevel"/>
    <w:tmpl w:val="950A1C52"/>
    <w:numStyleLink w:val="AERHeadings"/>
  </w:abstractNum>
  <w:abstractNum w:abstractNumId="6" w15:restartNumberingAfterBreak="0">
    <w:nsid w:val="1972601F"/>
    <w:multiLevelType w:val="multilevel"/>
    <w:tmpl w:val="950A1C52"/>
    <w:numStyleLink w:val="AERHeadings"/>
  </w:abstractNum>
  <w:abstractNum w:abstractNumId="7" w15:restartNumberingAfterBreak="0">
    <w:nsid w:val="1DFA331B"/>
    <w:multiLevelType w:val="multilevel"/>
    <w:tmpl w:val="B478DFE6"/>
    <w:numStyleLink w:val="AERnumberedlist"/>
  </w:abstractNum>
  <w:abstractNum w:abstractNumId="8" w15:restartNumberingAfterBreak="0">
    <w:nsid w:val="233428C7"/>
    <w:multiLevelType w:val="multilevel"/>
    <w:tmpl w:val="B478DFE6"/>
    <w:numStyleLink w:val="AERnumberedlist"/>
  </w:abstractNum>
  <w:abstractNum w:abstractNumId="9" w15:restartNumberingAfterBreak="0">
    <w:nsid w:val="2776270C"/>
    <w:multiLevelType w:val="multilevel"/>
    <w:tmpl w:val="B478DFE6"/>
    <w:numStyleLink w:val="AERnumberedlist"/>
  </w:abstractNum>
  <w:abstractNum w:abstractNumId="10" w15:restartNumberingAfterBreak="0">
    <w:nsid w:val="281977C0"/>
    <w:multiLevelType w:val="multilevel"/>
    <w:tmpl w:val="950A1C52"/>
    <w:numStyleLink w:val="AERHeadings"/>
  </w:abstractNum>
  <w:abstractNum w:abstractNumId="11" w15:restartNumberingAfterBreak="0">
    <w:nsid w:val="295C7239"/>
    <w:multiLevelType w:val="multilevel"/>
    <w:tmpl w:val="950A1C52"/>
    <w:numStyleLink w:val="AERHeadings"/>
  </w:abstractNum>
  <w:abstractNum w:abstractNumId="12" w15:restartNumberingAfterBreak="0">
    <w:nsid w:val="2C2D6B9E"/>
    <w:multiLevelType w:val="multilevel"/>
    <w:tmpl w:val="950A1C52"/>
    <w:numStyleLink w:val="AERHeadings"/>
  </w:abstractNum>
  <w:abstractNum w:abstractNumId="13" w15:restartNumberingAfterBreak="0">
    <w:nsid w:val="2DB12A3A"/>
    <w:multiLevelType w:val="multilevel"/>
    <w:tmpl w:val="950A1C52"/>
    <w:numStyleLink w:val="AERHeadings"/>
  </w:abstractNum>
  <w:abstractNum w:abstractNumId="14" w15:restartNumberingAfterBreak="0">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15:restartNumberingAfterBreak="0">
    <w:nsid w:val="333E0E05"/>
    <w:multiLevelType w:val="multilevel"/>
    <w:tmpl w:val="950A1C52"/>
    <w:numStyleLink w:val="AERHeadings"/>
  </w:abstractNum>
  <w:abstractNum w:abstractNumId="18" w15:restartNumberingAfterBreak="0">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721288"/>
    <w:multiLevelType w:val="multilevel"/>
    <w:tmpl w:val="950A1C52"/>
    <w:numStyleLink w:val="AERHeadings"/>
  </w:abstractNum>
  <w:abstractNum w:abstractNumId="21" w15:restartNumberingAfterBreak="0">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2" w15:restartNumberingAfterBreak="0">
    <w:nsid w:val="4F037C49"/>
    <w:multiLevelType w:val="multilevel"/>
    <w:tmpl w:val="B478DFE6"/>
    <w:numStyleLink w:val="AERnumberedlist"/>
  </w:abstractNum>
  <w:abstractNum w:abstractNumId="23" w15:restartNumberingAfterBreak="0">
    <w:nsid w:val="4F820549"/>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1487971"/>
    <w:multiLevelType w:val="multilevel"/>
    <w:tmpl w:val="B478DFE6"/>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357"/>
        </w:tabs>
        <w:ind w:left="357" w:hanging="357"/>
      </w:pPr>
      <w:rPr>
        <w:rFonts w:hint="default"/>
      </w:rPr>
    </w:lvl>
    <w:lvl w:ilvl="5">
      <w:start w:val="1"/>
      <w:numFmt w:val="lowerLetter"/>
      <w:lvlRestart w:val="2"/>
      <w:pStyle w:val="AERnumberedlist2second"/>
      <w:lvlText w:val="(%6)"/>
      <w:lvlJc w:val="left"/>
      <w:pPr>
        <w:tabs>
          <w:tab w:val="num" w:pos="720"/>
        </w:tabs>
        <w:ind w:left="720" w:hanging="363"/>
      </w:pPr>
      <w:rPr>
        <w:rFonts w:hint="default"/>
      </w:rPr>
    </w:lvl>
    <w:lvl w:ilvl="6">
      <w:start w:val="1"/>
      <w:numFmt w:val="lowerRoman"/>
      <w:lvlRestart w:val="3"/>
      <w:pStyle w:val="AERnumberedlist2third"/>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1807103"/>
    <w:multiLevelType w:val="multilevel"/>
    <w:tmpl w:val="B478DFE6"/>
    <w:numStyleLink w:val="AERnumberedlist"/>
  </w:abstractNum>
  <w:abstractNum w:abstractNumId="26" w15:restartNumberingAfterBreak="0">
    <w:nsid w:val="5D386EA7"/>
    <w:multiLevelType w:val="multilevel"/>
    <w:tmpl w:val="950A1C52"/>
    <w:numStyleLink w:val="AERHeadings"/>
  </w:abstractNum>
  <w:abstractNum w:abstractNumId="27" w15:restartNumberingAfterBreak="0">
    <w:nsid w:val="5DCC1B18"/>
    <w:multiLevelType w:val="multilevel"/>
    <w:tmpl w:val="B478DFE6"/>
    <w:numStyleLink w:val="AERnumberedlist"/>
  </w:abstractNum>
  <w:abstractNum w:abstractNumId="28" w15:restartNumberingAfterBreak="0">
    <w:nsid w:val="68247CF7"/>
    <w:multiLevelType w:val="multilevel"/>
    <w:tmpl w:val="950A1C52"/>
    <w:numStyleLink w:val="AERHeadings"/>
  </w:abstractNum>
  <w:abstractNum w:abstractNumId="29" w15:restartNumberingAfterBreak="0">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4595980"/>
    <w:multiLevelType w:val="multilevel"/>
    <w:tmpl w:val="950A1C52"/>
    <w:numStyleLink w:val="AERHeadings"/>
  </w:abstractNum>
  <w:abstractNum w:abstractNumId="31" w15:restartNumberingAfterBreak="0">
    <w:nsid w:val="74F81DDF"/>
    <w:multiLevelType w:val="multilevel"/>
    <w:tmpl w:val="950A1C52"/>
    <w:numStyleLink w:val="AERHeadings"/>
  </w:abstractNum>
  <w:abstractNum w:abstractNumId="32" w15:restartNumberingAfterBreak="0">
    <w:nsid w:val="787F66A4"/>
    <w:multiLevelType w:val="multilevel"/>
    <w:tmpl w:val="950A1C52"/>
    <w:numStyleLink w:val="AERHeadings"/>
  </w:abstractNum>
  <w:abstractNum w:abstractNumId="33" w15:restartNumberingAfterBreak="0">
    <w:nsid w:val="7AAC6DD7"/>
    <w:multiLevelType w:val="multilevel"/>
    <w:tmpl w:val="950A1C52"/>
    <w:numStyleLink w:val="AERHeadings"/>
  </w:abstractNum>
  <w:abstractNum w:abstractNumId="34" w15:restartNumberingAfterBreak="0">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BE97BF8"/>
    <w:multiLevelType w:val="multilevel"/>
    <w:tmpl w:val="950A1C52"/>
    <w:numStyleLink w:val="AERHeadings"/>
  </w:abstractNum>
  <w:abstractNum w:abstractNumId="36" w15:restartNumberingAfterBreak="0">
    <w:nsid w:val="7CDA0F5F"/>
    <w:multiLevelType w:val="multilevel"/>
    <w:tmpl w:val="950A1C52"/>
    <w:numStyleLink w:val="AERHeadings"/>
  </w:abstractNum>
  <w:num w:numId="1" w16cid:durableId="477068884">
    <w:abstractNumId w:val="29"/>
  </w:num>
  <w:num w:numId="2" w16cid:durableId="1429081746">
    <w:abstractNumId w:val="14"/>
  </w:num>
  <w:num w:numId="3" w16cid:durableId="2112816363">
    <w:abstractNumId w:val="21"/>
  </w:num>
  <w:num w:numId="4" w16cid:durableId="11485899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573522">
    <w:abstractNumId w:val="3"/>
  </w:num>
  <w:num w:numId="6" w16cid:durableId="1738167430">
    <w:abstractNumId w:val="21"/>
    <w:lvlOverride w:ilvl="0">
      <w:startOverride w:val="1"/>
    </w:lvlOverride>
  </w:num>
  <w:num w:numId="7" w16cid:durableId="913320351">
    <w:abstractNumId w:val="19"/>
  </w:num>
  <w:num w:numId="8" w16cid:durableId="1023627445">
    <w:abstractNumId w:val="16"/>
  </w:num>
  <w:num w:numId="9" w16cid:durableId="1350714605">
    <w:abstractNumId w:val="34"/>
  </w:num>
  <w:num w:numId="10" w16cid:durableId="417674438">
    <w:abstractNumId w:val="21"/>
    <w:lvlOverride w:ilvl="0">
      <w:startOverride w:val="1"/>
    </w:lvlOverride>
  </w:num>
  <w:num w:numId="11" w16cid:durableId="483861107">
    <w:abstractNumId w:val="1"/>
  </w:num>
  <w:num w:numId="12" w16cid:durableId="1672760646">
    <w:abstractNumId w:val="21"/>
    <w:lvlOverride w:ilvl="0">
      <w:startOverride w:val="1"/>
    </w:lvlOverride>
  </w:num>
  <w:num w:numId="13" w16cid:durableId="2048942544">
    <w:abstractNumId w:val="24"/>
  </w:num>
  <w:num w:numId="14" w16cid:durableId="18941972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9935770">
    <w:abstractNumId w:val="8"/>
  </w:num>
  <w:num w:numId="16" w16cid:durableId="1089690854">
    <w:abstractNumId w:val="2"/>
  </w:num>
  <w:num w:numId="17" w16cid:durableId="1280527781">
    <w:abstractNumId w:val="22"/>
  </w:num>
  <w:num w:numId="18" w16cid:durableId="33967722">
    <w:abstractNumId w:val="7"/>
  </w:num>
  <w:num w:numId="19" w16cid:durableId="1204251779">
    <w:abstractNumId w:val="9"/>
  </w:num>
  <w:num w:numId="20" w16cid:durableId="833450350">
    <w:abstractNumId w:val="31"/>
  </w:num>
  <w:num w:numId="21" w16cid:durableId="78018160">
    <w:abstractNumId w:val="27"/>
  </w:num>
  <w:num w:numId="22" w16cid:durableId="12858462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730982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08245166">
    <w:abstractNumId w:val="18"/>
  </w:num>
  <w:num w:numId="25" w16cid:durableId="33268406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99906882">
    <w:abstractNumId w:val="11"/>
  </w:num>
  <w:num w:numId="27" w16cid:durableId="1044988756">
    <w:abstractNumId w:val="36"/>
  </w:num>
  <w:num w:numId="28" w16cid:durableId="1802075247">
    <w:abstractNumId w:val="17"/>
  </w:num>
  <w:num w:numId="29" w16cid:durableId="508374668">
    <w:abstractNumId w:val="10"/>
  </w:num>
  <w:num w:numId="30" w16cid:durableId="1840996342">
    <w:abstractNumId w:val="5"/>
  </w:num>
  <w:num w:numId="31" w16cid:durableId="1313680338">
    <w:abstractNumId w:val="0"/>
  </w:num>
  <w:num w:numId="32" w16cid:durableId="589852987">
    <w:abstractNumId w:val="6"/>
  </w:num>
  <w:num w:numId="33" w16cid:durableId="1915048599">
    <w:abstractNumId w:val="32"/>
  </w:num>
  <w:num w:numId="34" w16cid:durableId="1458255931">
    <w:abstractNumId w:val="28"/>
  </w:num>
  <w:num w:numId="35" w16cid:durableId="2145736483">
    <w:abstractNumId w:val="30"/>
  </w:num>
  <w:num w:numId="36" w16cid:durableId="494877842">
    <w:abstractNumId w:val="35"/>
  </w:num>
  <w:num w:numId="37" w16cid:durableId="1581131740">
    <w:abstractNumId w:val="26"/>
  </w:num>
  <w:num w:numId="38" w16cid:durableId="776027811">
    <w:abstractNumId w:val="12"/>
  </w:num>
  <w:num w:numId="39" w16cid:durableId="1972905976">
    <w:abstractNumId w:val="13"/>
  </w:num>
  <w:num w:numId="40" w16cid:durableId="1351764310">
    <w:abstractNumId w:val="20"/>
  </w:num>
  <w:num w:numId="41" w16cid:durableId="817496484">
    <w:abstractNumId w:val="25"/>
  </w:num>
  <w:num w:numId="42" w16cid:durableId="403844130">
    <w:abstractNumId w:val="4"/>
  </w:num>
  <w:num w:numId="43" w16cid:durableId="1310204221">
    <w:abstractNumId w:val="33"/>
  </w:num>
  <w:num w:numId="44" w16cid:durableId="1473912753">
    <w:abstractNumId w:val="23"/>
  </w:num>
  <w:num w:numId="45" w16cid:durableId="567496747">
    <w:abstractNumId w:val="24"/>
    <w:lvlOverride w:ilvl="0">
      <w:lvl w:ilvl="0">
        <w:start w:val="1"/>
        <w:numFmt w:val="none"/>
        <w:pStyle w:val="AERbodytext"/>
        <w:lvlText w:val="%1"/>
        <w:lvlJc w:val="left"/>
        <w:pPr>
          <w:tabs>
            <w:tab w:val="num" w:pos="0"/>
          </w:tabs>
          <w:ind w:left="0" w:firstLine="0"/>
        </w:pPr>
        <w:rPr>
          <w:rFonts w:hint="default"/>
        </w:rPr>
      </w:lvl>
    </w:lvlOverride>
    <w:lvlOverride w:ilvl="1">
      <w:lvl w:ilvl="1">
        <w:start w:val="1"/>
        <w:numFmt w:val="decimal"/>
        <w:pStyle w:val="AERnumberedlistfirststyle"/>
        <w:lvlText w:val="%2."/>
        <w:lvlJc w:val="left"/>
        <w:pPr>
          <w:tabs>
            <w:tab w:val="num" w:pos="357"/>
          </w:tabs>
          <w:ind w:left="357" w:hanging="357"/>
        </w:pPr>
        <w:rPr>
          <w:rFonts w:hint="default"/>
        </w:rPr>
      </w:lvl>
    </w:lvlOverride>
  </w:num>
  <w:num w:numId="46" w16cid:durableId="2828832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001899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44273505">
    <w:abstractNumId w:val="24"/>
    <w:lvlOverride w:ilvl="0">
      <w:startOverride w:val="1"/>
      <w:lvl w:ilvl="0">
        <w:start w:val="1"/>
        <w:numFmt w:val="none"/>
        <w:pStyle w:val="AERbodytext"/>
        <w:lvlText w:val="%1"/>
        <w:lvlJc w:val="left"/>
        <w:pPr>
          <w:tabs>
            <w:tab w:val="num" w:pos="0"/>
          </w:tabs>
          <w:ind w:left="0" w:firstLine="0"/>
        </w:pPr>
      </w:lvl>
    </w:lvlOverride>
    <w:lvlOverride w:ilvl="1">
      <w:startOverride w:val="1"/>
      <w:lvl w:ilvl="1">
        <w:start w:val="1"/>
        <w:numFmt w:val="decimal"/>
        <w:pStyle w:val="AERnumberedlistfirststyle"/>
        <w:lvlText w:val="%2."/>
        <w:lvlJc w:val="left"/>
        <w:pPr>
          <w:tabs>
            <w:tab w:val="num" w:pos="357"/>
          </w:tabs>
          <w:ind w:left="357" w:hanging="357"/>
        </w:pPr>
      </w:lvl>
    </w:lvlOverride>
    <w:lvlOverride w:ilvl="2">
      <w:startOverride w:val="1"/>
      <w:lvl w:ilvl="2">
        <w:start w:val="1"/>
        <w:numFmt w:val="decimal"/>
        <w:pStyle w:val="AERnumberedlistsecondstyle"/>
        <w:lvlText w:val=""/>
        <w:lvlJc w:val="left"/>
      </w:lvl>
    </w:lvlOverride>
    <w:lvlOverride w:ilvl="3">
      <w:startOverride w:val="1"/>
      <w:lvl w:ilvl="3">
        <w:start w:val="1"/>
        <w:numFmt w:val="decimal"/>
        <w:pStyle w:val="AERnumberedlistthirdstyle"/>
        <w:lvlText w:val=""/>
        <w:lvlJc w:val="left"/>
      </w:lvl>
    </w:lvlOverride>
    <w:lvlOverride w:ilvl="4">
      <w:startOverride w:val="1"/>
      <w:lvl w:ilvl="4">
        <w:start w:val="1"/>
        <w:numFmt w:val="decimal"/>
        <w:pStyle w:val="AERnumberedlist2first"/>
        <w:lvlText w:val=""/>
        <w:lvlJc w:val="left"/>
      </w:lvl>
    </w:lvlOverride>
    <w:lvlOverride w:ilvl="5">
      <w:startOverride w:val="1"/>
      <w:lvl w:ilvl="5">
        <w:start w:val="1"/>
        <w:numFmt w:val="decimal"/>
        <w:pStyle w:val="AERnumberedlist2second"/>
        <w:lvlText w:val=""/>
        <w:lvlJc w:val="left"/>
      </w:lvl>
    </w:lvlOverride>
    <w:lvlOverride w:ilvl="6">
      <w:startOverride w:val="1"/>
      <w:lvl w:ilvl="6">
        <w:start w:val="1"/>
        <w:numFmt w:val="decimal"/>
        <w:pStyle w:val="AERnumberedlist2third"/>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rrentname" w:val="C:\Documents and Settings\pmich\Local Settings\Temporary Internet Files\Content.Outlook\6RYCCIKT\Multinet - access arrangement decision - opening capital base - 7 October 2013.DOCX"/>
  </w:docVars>
  <w:rsids>
    <w:rsidRoot w:val="000C052F"/>
    <w:rsid w:val="00001E14"/>
    <w:rsid w:val="00005C59"/>
    <w:rsid w:val="0001101F"/>
    <w:rsid w:val="00011129"/>
    <w:rsid w:val="0001759C"/>
    <w:rsid w:val="00022606"/>
    <w:rsid w:val="0003487B"/>
    <w:rsid w:val="00040599"/>
    <w:rsid w:val="00040749"/>
    <w:rsid w:val="00053206"/>
    <w:rsid w:val="00067FFA"/>
    <w:rsid w:val="00074773"/>
    <w:rsid w:val="00087BE3"/>
    <w:rsid w:val="000A1CC2"/>
    <w:rsid w:val="000A5342"/>
    <w:rsid w:val="000B15CA"/>
    <w:rsid w:val="000B36DF"/>
    <w:rsid w:val="000C052F"/>
    <w:rsid w:val="000C3430"/>
    <w:rsid w:val="000C405E"/>
    <w:rsid w:val="000D03C2"/>
    <w:rsid w:val="000D04B1"/>
    <w:rsid w:val="000D401F"/>
    <w:rsid w:val="000E1A25"/>
    <w:rsid w:val="000E7F51"/>
    <w:rsid w:val="000F3A6A"/>
    <w:rsid w:val="000F7E68"/>
    <w:rsid w:val="001033B3"/>
    <w:rsid w:val="00105636"/>
    <w:rsid w:val="001076F3"/>
    <w:rsid w:val="0012408F"/>
    <w:rsid w:val="00142C6A"/>
    <w:rsid w:val="001543D2"/>
    <w:rsid w:val="00174026"/>
    <w:rsid w:val="001856EE"/>
    <w:rsid w:val="001927F1"/>
    <w:rsid w:val="00194C3C"/>
    <w:rsid w:val="001A2EA4"/>
    <w:rsid w:val="001A3C8E"/>
    <w:rsid w:val="001B0E70"/>
    <w:rsid w:val="001C12E5"/>
    <w:rsid w:val="001E0DB4"/>
    <w:rsid w:val="001E4CE8"/>
    <w:rsid w:val="001E7BC9"/>
    <w:rsid w:val="001F30EB"/>
    <w:rsid w:val="0020711E"/>
    <w:rsid w:val="00210880"/>
    <w:rsid w:val="0022130C"/>
    <w:rsid w:val="002257B9"/>
    <w:rsid w:val="0023137D"/>
    <w:rsid w:val="00233DAF"/>
    <w:rsid w:val="002471A0"/>
    <w:rsid w:val="00251324"/>
    <w:rsid w:val="00266710"/>
    <w:rsid w:val="00275597"/>
    <w:rsid w:val="00277752"/>
    <w:rsid w:val="002805B8"/>
    <w:rsid w:val="002938CE"/>
    <w:rsid w:val="002B31E3"/>
    <w:rsid w:val="002B6640"/>
    <w:rsid w:val="002C0762"/>
    <w:rsid w:val="002C4E08"/>
    <w:rsid w:val="002C638C"/>
    <w:rsid w:val="002D61AC"/>
    <w:rsid w:val="002E4720"/>
    <w:rsid w:val="00303452"/>
    <w:rsid w:val="003147E8"/>
    <w:rsid w:val="0032053B"/>
    <w:rsid w:val="00323C9D"/>
    <w:rsid w:val="003324F7"/>
    <w:rsid w:val="00334F88"/>
    <w:rsid w:val="00340118"/>
    <w:rsid w:val="003537B1"/>
    <w:rsid w:val="003562E5"/>
    <w:rsid w:val="003648C6"/>
    <w:rsid w:val="00365BD4"/>
    <w:rsid w:val="003707DB"/>
    <w:rsid w:val="00375AEC"/>
    <w:rsid w:val="00376236"/>
    <w:rsid w:val="0037652C"/>
    <w:rsid w:val="003800E4"/>
    <w:rsid w:val="00380FF5"/>
    <w:rsid w:val="003A31BF"/>
    <w:rsid w:val="003A6174"/>
    <w:rsid w:val="003E5A68"/>
    <w:rsid w:val="003F0189"/>
    <w:rsid w:val="004030AB"/>
    <w:rsid w:val="004121F3"/>
    <w:rsid w:val="00412282"/>
    <w:rsid w:val="00416895"/>
    <w:rsid w:val="004235A9"/>
    <w:rsid w:val="004256BA"/>
    <w:rsid w:val="00426524"/>
    <w:rsid w:val="00427793"/>
    <w:rsid w:val="00431999"/>
    <w:rsid w:val="00435682"/>
    <w:rsid w:val="00435D47"/>
    <w:rsid w:val="00453713"/>
    <w:rsid w:val="00456081"/>
    <w:rsid w:val="004566DB"/>
    <w:rsid w:val="00460ABB"/>
    <w:rsid w:val="00464F5D"/>
    <w:rsid w:val="0046689D"/>
    <w:rsid w:val="00467C70"/>
    <w:rsid w:val="00471026"/>
    <w:rsid w:val="00474B7F"/>
    <w:rsid w:val="00474FBD"/>
    <w:rsid w:val="00486C7F"/>
    <w:rsid w:val="0049068F"/>
    <w:rsid w:val="00491D7D"/>
    <w:rsid w:val="004966B4"/>
    <w:rsid w:val="004A653B"/>
    <w:rsid w:val="004C3F45"/>
    <w:rsid w:val="004E40EF"/>
    <w:rsid w:val="004E73F7"/>
    <w:rsid w:val="004F76A0"/>
    <w:rsid w:val="00500E7F"/>
    <w:rsid w:val="00501A96"/>
    <w:rsid w:val="00502E64"/>
    <w:rsid w:val="00506A30"/>
    <w:rsid w:val="005152CD"/>
    <w:rsid w:val="0052179D"/>
    <w:rsid w:val="005456A9"/>
    <w:rsid w:val="00555D52"/>
    <w:rsid w:val="005566D7"/>
    <w:rsid w:val="0056057D"/>
    <w:rsid w:val="00560658"/>
    <w:rsid w:val="005613E4"/>
    <w:rsid w:val="00561F7F"/>
    <w:rsid w:val="005626A9"/>
    <w:rsid w:val="005636B0"/>
    <w:rsid w:val="00566B35"/>
    <w:rsid w:val="00571DD0"/>
    <w:rsid w:val="005732CC"/>
    <w:rsid w:val="00575422"/>
    <w:rsid w:val="005938C6"/>
    <w:rsid w:val="0059631A"/>
    <w:rsid w:val="005A0431"/>
    <w:rsid w:val="005A39EC"/>
    <w:rsid w:val="005A77F6"/>
    <w:rsid w:val="005B3752"/>
    <w:rsid w:val="005B61C2"/>
    <w:rsid w:val="005C5D50"/>
    <w:rsid w:val="005D26B7"/>
    <w:rsid w:val="005D4AA1"/>
    <w:rsid w:val="005E5154"/>
    <w:rsid w:val="005E5451"/>
    <w:rsid w:val="005F2AD9"/>
    <w:rsid w:val="0060146C"/>
    <w:rsid w:val="0060207D"/>
    <w:rsid w:val="006039F2"/>
    <w:rsid w:val="006061B0"/>
    <w:rsid w:val="0060732E"/>
    <w:rsid w:val="006076A9"/>
    <w:rsid w:val="006203B2"/>
    <w:rsid w:val="006544EA"/>
    <w:rsid w:val="00665655"/>
    <w:rsid w:val="0066569F"/>
    <w:rsid w:val="00687B9E"/>
    <w:rsid w:val="0069004B"/>
    <w:rsid w:val="006B08A0"/>
    <w:rsid w:val="006B08EB"/>
    <w:rsid w:val="006B481F"/>
    <w:rsid w:val="006C1B25"/>
    <w:rsid w:val="006D010C"/>
    <w:rsid w:val="006D019D"/>
    <w:rsid w:val="006F638E"/>
    <w:rsid w:val="00703E42"/>
    <w:rsid w:val="00711967"/>
    <w:rsid w:val="007368AD"/>
    <w:rsid w:val="00751D2A"/>
    <w:rsid w:val="00755095"/>
    <w:rsid w:val="007656E4"/>
    <w:rsid w:val="00796A07"/>
    <w:rsid w:val="007C64DA"/>
    <w:rsid w:val="007E02D2"/>
    <w:rsid w:val="007E0F9C"/>
    <w:rsid w:val="007E232C"/>
    <w:rsid w:val="007F10E3"/>
    <w:rsid w:val="007F2C0E"/>
    <w:rsid w:val="00804AEB"/>
    <w:rsid w:val="0080556B"/>
    <w:rsid w:val="00822F5F"/>
    <w:rsid w:val="00824CC8"/>
    <w:rsid w:val="00836D17"/>
    <w:rsid w:val="00840A55"/>
    <w:rsid w:val="00841E25"/>
    <w:rsid w:val="00843EC5"/>
    <w:rsid w:val="00845953"/>
    <w:rsid w:val="008464CD"/>
    <w:rsid w:val="008466FF"/>
    <w:rsid w:val="00847A76"/>
    <w:rsid w:val="008515EE"/>
    <w:rsid w:val="008578F4"/>
    <w:rsid w:val="00861C4E"/>
    <w:rsid w:val="00864213"/>
    <w:rsid w:val="00866D21"/>
    <w:rsid w:val="00872D85"/>
    <w:rsid w:val="00883DDA"/>
    <w:rsid w:val="00886BCA"/>
    <w:rsid w:val="00891FF9"/>
    <w:rsid w:val="00893367"/>
    <w:rsid w:val="008B7956"/>
    <w:rsid w:val="008C3B67"/>
    <w:rsid w:val="008C3F48"/>
    <w:rsid w:val="008D49B4"/>
    <w:rsid w:val="008D7498"/>
    <w:rsid w:val="008E0BAD"/>
    <w:rsid w:val="0093157A"/>
    <w:rsid w:val="00932E96"/>
    <w:rsid w:val="009418E6"/>
    <w:rsid w:val="00941D38"/>
    <w:rsid w:val="0094235F"/>
    <w:rsid w:val="0094279F"/>
    <w:rsid w:val="00946B98"/>
    <w:rsid w:val="0095052A"/>
    <w:rsid w:val="009658F0"/>
    <w:rsid w:val="0096597E"/>
    <w:rsid w:val="00971655"/>
    <w:rsid w:val="00971C63"/>
    <w:rsid w:val="00972E45"/>
    <w:rsid w:val="009A4AE9"/>
    <w:rsid w:val="009A7D9D"/>
    <w:rsid w:val="009B6C81"/>
    <w:rsid w:val="009C2D89"/>
    <w:rsid w:val="009C30C4"/>
    <w:rsid w:val="009C71D5"/>
    <w:rsid w:val="009D54A2"/>
    <w:rsid w:val="009E1344"/>
    <w:rsid w:val="009F7CE4"/>
    <w:rsid w:val="00A07A7C"/>
    <w:rsid w:val="00A11162"/>
    <w:rsid w:val="00A11FAC"/>
    <w:rsid w:val="00A35253"/>
    <w:rsid w:val="00A3589F"/>
    <w:rsid w:val="00A43227"/>
    <w:rsid w:val="00A46CCD"/>
    <w:rsid w:val="00A47D60"/>
    <w:rsid w:val="00A60DA5"/>
    <w:rsid w:val="00A65133"/>
    <w:rsid w:val="00A652C5"/>
    <w:rsid w:val="00A753C8"/>
    <w:rsid w:val="00A81ABF"/>
    <w:rsid w:val="00A85C5A"/>
    <w:rsid w:val="00A96A08"/>
    <w:rsid w:val="00AA0161"/>
    <w:rsid w:val="00AB1D08"/>
    <w:rsid w:val="00AB1EF2"/>
    <w:rsid w:val="00AB36E8"/>
    <w:rsid w:val="00AB4345"/>
    <w:rsid w:val="00AB5BD7"/>
    <w:rsid w:val="00AC0135"/>
    <w:rsid w:val="00AC070D"/>
    <w:rsid w:val="00AC1B94"/>
    <w:rsid w:val="00AD0616"/>
    <w:rsid w:val="00AD34FF"/>
    <w:rsid w:val="00AD4DE6"/>
    <w:rsid w:val="00AE2C5B"/>
    <w:rsid w:val="00AE52ED"/>
    <w:rsid w:val="00AE6DBC"/>
    <w:rsid w:val="00AF217F"/>
    <w:rsid w:val="00AF3E95"/>
    <w:rsid w:val="00AF7C67"/>
    <w:rsid w:val="00B15FE9"/>
    <w:rsid w:val="00B22814"/>
    <w:rsid w:val="00B33223"/>
    <w:rsid w:val="00B42551"/>
    <w:rsid w:val="00B50747"/>
    <w:rsid w:val="00B51883"/>
    <w:rsid w:val="00B61FD4"/>
    <w:rsid w:val="00B630A3"/>
    <w:rsid w:val="00B674DB"/>
    <w:rsid w:val="00B72F17"/>
    <w:rsid w:val="00B74072"/>
    <w:rsid w:val="00B819DD"/>
    <w:rsid w:val="00B82E8D"/>
    <w:rsid w:val="00B9264D"/>
    <w:rsid w:val="00B94D99"/>
    <w:rsid w:val="00BA215A"/>
    <w:rsid w:val="00BA7D10"/>
    <w:rsid w:val="00BB3FA1"/>
    <w:rsid w:val="00BB62BB"/>
    <w:rsid w:val="00BC05C5"/>
    <w:rsid w:val="00BC770F"/>
    <w:rsid w:val="00BD04BE"/>
    <w:rsid w:val="00BE6F28"/>
    <w:rsid w:val="00BF194D"/>
    <w:rsid w:val="00BF29FA"/>
    <w:rsid w:val="00BF2D37"/>
    <w:rsid w:val="00C04D2B"/>
    <w:rsid w:val="00C151E0"/>
    <w:rsid w:val="00C20CC8"/>
    <w:rsid w:val="00C36B32"/>
    <w:rsid w:val="00C4243D"/>
    <w:rsid w:val="00C47CDB"/>
    <w:rsid w:val="00C737C5"/>
    <w:rsid w:val="00C75C57"/>
    <w:rsid w:val="00C87846"/>
    <w:rsid w:val="00CA3540"/>
    <w:rsid w:val="00CA6DED"/>
    <w:rsid w:val="00CC49D4"/>
    <w:rsid w:val="00CD577A"/>
    <w:rsid w:val="00CE6F5A"/>
    <w:rsid w:val="00CF42CF"/>
    <w:rsid w:val="00D04941"/>
    <w:rsid w:val="00D102E9"/>
    <w:rsid w:val="00D1688F"/>
    <w:rsid w:val="00D2117F"/>
    <w:rsid w:val="00D25317"/>
    <w:rsid w:val="00D66E8B"/>
    <w:rsid w:val="00D85715"/>
    <w:rsid w:val="00D8706C"/>
    <w:rsid w:val="00DA2715"/>
    <w:rsid w:val="00DA4C62"/>
    <w:rsid w:val="00DB6A17"/>
    <w:rsid w:val="00DC703F"/>
    <w:rsid w:val="00DC72CA"/>
    <w:rsid w:val="00DD5520"/>
    <w:rsid w:val="00DE2B37"/>
    <w:rsid w:val="00DF16C2"/>
    <w:rsid w:val="00DF78B7"/>
    <w:rsid w:val="00E00F76"/>
    <w:rsid w:val="00E0146E"/>
    <w:rsid w:val="00E02688"/>
    <w:rsid w:val="00E21E75"/>
    <w:rsid w:val="00E25D70"/>
    <w:rsid w:val="00E32783"/>
    <w:rsid w:val="00E519DC"/>
    <w:rsid w:val="00E703DC"/>
    <w:rsid w:val="00E807DA"/>
    <w:rsid w:val="00E84E3A"/>
    <w:rsid w:val="00EA05AF"/>
    <w:rsid w:val="00EB25FB"/>
    <w:rsid w:val="00EB68BC"/>
    <w:rsid w:val="00EC43B9"/>
    <w:rsid w:val="00EC6B97"/>
    <w:rsid w:val="00ED4D69"/>
    <w:rsid w:val="00EE362F"/>
    <w:rsid w:val="00EE402D"/>
    <w:rsid w:val="00EE703C"/>
    <w:rsid w:val="00EF0E19"/>
    <w:rsid w:val="00EF5AE5"/>
    <w:rsid w:val="00F00094"/>
    <w:rsid w:val="00F02736"/>
    <w:rsid w:val="00F114AE"/>
    <w:rsid w:val="00F30786"/>
    <w:rsid w:val="00F43CA0"/>
    <w:rsid w:val="00F5346D"/>
    <w:rsid w:val="00F55030"/>
    <w:rsid w:val="00F601A5"/>
    <w:rsid w:val="00F652FA"/>
    <w:rsid w:val="00F7696F"/>
    <w:rsid w:val="00F8209B"/>
    <w:rsid w:val="00F97CD9"/>
    <w:rsid w:val="00FA0576"/>
    <w:rsid w:val="00FB50B4"/>
    <w:rsid w:val="00FD4B97"/>
    <w:rsid w:val="00FE4616"/>
    <w:rsid w:val="00FE55EB"/>
    <w:rsid w:val="00FE68E4"/>
    <w:rsid w:val="00FE7B79"/>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B87CF"/>
  <w15:docId w15:val="{1AC350E1-09F7-417F-AC3D-E710AF065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utami" w:eastAsia="Calibri" w:hAnsi="Gautami" w:cs="Times New Roman"/>
        <w:lang w:val="en-AU" w:eastAsia="en-AU"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uiPriority="9" w:qFormat="1"/>
    <w:lsdException w:name="heading 3" w:locked="0" w:uiPriority="9" w:qFormat="1"/>
    <w:lsdException w:name="heading 4" w:uiPriority="9" w:qFormat="1"/>
    <w:lsdException w:name="heading 5" w:semiHidden="1" w:uiPriority="9" w:unhideWhenUsed="1" w:qFormat="1"/>
    <w:lsdException w:name="heading 6"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qFormat="1"/>
    <w:lsdException w:name="annotation text" w:semiHidden="1" w:unhideWhenUsed="1"/>
    <w:lsdException w:name="header" w:locked="0" w:semiHidden="1" w:unhideWhenUsed="1"/>
    <w:lsdException w:name="footer" w:locked="0" w:semiHidden="1" w:unhideWhenUsed="1" w:qFormat="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semiHidden="1" w:unhideWhenUsed="1"/>
    <w:lsdException w:name="line number" w:locked="0" w:semiHidden="1" w:unhideWhenUsed="1"/>
    <w:lsdException w:name="page number" w:locked="0" w:semiHidden="1" w:uiPriority="0"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semiHidden="1" w:uiPriority="10" w:unhideWhenUsed="1"/>
    <w:lsdException w:name="Closing" w:locked="0" w:semiHidden="1" w:unhideWhenUsed="1"/>
    <w:lsdException w:name="Signature" w:locked="0"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0" w:semiHidden="1" w:unhideWhenUsed="1"/>
    <w:lsdException w:name="Subtitle" w:locked="0" w:semiHidden="1" w:uiPriority="11" w:unhideWhenUsed="1" w:qFormat="1"/>
    <w:lsdException w:name="Salutation" w:locked="0" w:semiHidden="1" w:unhideWhenUsed="1"/>
    <w:lsdException w:name="Date" w:locked="0" w:semiHidden="1" w:unhideWhenUsed="1"/>
    <w:lsdException w:name="Body Text First Indent"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semiHidden="1" w:uiPriority="22" w:unhideWhenUsed="1" w:qFormat="1"/>
    <w:lsdException w:name="Emphasis" w:locked="0" w:semiHidden="1" w:uiPriority="20" w:unhideWhenUsed="1"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locked="0" w:semiHidden="1" w:unhideWhenUsed="1"/>
    <w:lsdException w:name="No Spacing" w:locked="0"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unhideWhenUsed="1" w:qFormat="1"/>
    <w:lsdException w:name="Quote" w:locked="0" w:semiHidden="1" w:uiPriority="29" w:unhideWhenUsed="1" w:qFormat="1"/>
    <w:lsdException w:name="Intense Quote" w:locked="0"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uiPriority="19" w:unhideWhenUsed="1" w:qFormat="1"/>
    <w:lsdException w:name="Intense Emphasis" w:locked="0" w:semiHidden="1" w:uiPriority="21" w:unhideWhenUsed="1" w:qFormat="1"/>
    <w:lsdException w:name="Subtle Reference" w:locked="0" w:semiHidden="1" w:uiPriority="31" w:unhideWhenUsed="1" w:qFormat="1"/>
    <w:lsdException w:name="Intense Reference" w:locked="0" w:semiHidden="1" w:uiPriority="32" w:unhideWhenUsed="1" w:qFormat="1"/>
    <w:lsdException w:name="Book Title" w:locked="0" w:semiHidden="1" w:uiPriority="33" w:unhideWhenUsed="1" w:qFormat="1"/>
    <w:lsdException w:name="Bibliography" w:locked="0"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E25D70"/>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43"/>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semiHidden/>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5A0431"/>
    <w:pPr>
      <w:numPr>
        <w:ilvl w:val="5"/>
      </w:numPr>
      <w:outlineLvl w:val="4"/>
    </w:pPr>
    <w:rPr>
      <w:i/>
      <w:sz w:val="20"/>
    </w:rPr>
  </w:style>
  <w:style w:type="paragraph" w:styleId="Heading6">
    <w:name w:val="heading 6"/>
    <w:basedOn w:val="Heading5"/>
    <w:next w:val="AERbodytext"/>
    <w:link w:val="Heading6Char"/>
    <w:uiPriority w:val="9"/>
    <w:semiHidden/>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2"/>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ascii="Gautami" w:eastAsia="Times New Roman" w:hAnsi="Gautami" w:cs="Times New Roman"/>
      <w:b/>
      <w:color w:val="F79646"/>
      <w:sz w:val="28"/>
      <w:szCs w:val="26"/>
    </w:rPr>
  </w:style>
  <w:style w:type="character" w:customStyle="1" w:styleId="Heading3Char">
    <w:name w:val="Heading 3 Char"/>
    <w:basedOn w:val="DefaultParagraphFont"/>
    <w:link w:val="Heading3"/>
    <w:uiPriority w:val="9"/>
    <w:rsid w:val="000A1CC2"/>
    <w:rPr>
      <w:rFonts w:ascii="Gautami" w:eastAsia="Times New Roman" w:hAnsi="Gautami" w:cs="Times New Roman"/>
      <w:b/>
      <w:bCs/>
      <w:color w:val="F79646"/>
      <w:sz w:val="24"/>
      <w:szCs w:val="26"/>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303452"/>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303452"/>
    <w:rPr>
      <w:rFonts w:ascii="Gautami" w:eastAsia="Times New Roman" w:hAnsi="Gautami" w:cs="Times New Roman"/>
      <w:b/>
      <w:bCs/>
      <w:color w:val="E36C0A"/>
      <w:sz w:val="24"/>
      <w:szCs w:val="20"/>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0E1A25"/>
    <w:pPr>
      <w:numPr>
        <w:numId w:val="42"/>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7"/>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11"/>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8"/>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9"/>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basedOn w:val="DefaultParagraphFont"/>
    <w:uiPriority w:val="99"/>
    <w:semiHidden/>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ERnumberedlist">
    <w:name w:val="AER numbered list"/>
    <w:uiPriority w:val="99"/>
    <w:rsid w:val="000E1A25"/>
    <w:pPr>
      <w:numPr>
        <w:numId w:val="13"/>
      </w:numPr>
    </w:pPr>
  </w:style>
  <w:style w:type="numbering" w:customStyle="1" w:styleId="OldAERheadings">
    <w:name w:val="Old AER headings"/>
    <w:uiPriority w:val="99"/>
    <w:locked/>
    <w:rsid w:val="008515EE"/>
    <w:pPr>
      <w:numPr>
        <w:numId w:val="24"/>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semiHidden/>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semiHidden/>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2E4720"/>
    <w:pPr>
      <w:keepNext/>
      <w:spacing w:before="120" w:after="120"/>
    </w:pPr>
    <w:rPr>
      <w:b/>
      <w:color w:val="365F91" w:themeColor="accent1" w:themeShade="BF"/>
      <w:sz w:val="22"/>
    </w:rPr>
  </w:style>
  <w:style w:type="paragraph" w:customStyle="1" w:styleId="HeadingBoldItalic">
    <w:name w:val="Heading Bold Italic"/>
    <w:basedOn w:val="AERbodytext"/>
    <w:next w:val="AERbodytext"/>
    <w:qFormat/>
    <w:rsid w:val="002E4720"/>
    <w:pPr>
      <w:keepNext/>
      <w:spacing w:before="120" w:after="120"/>
    </w:pPr>
    <w:rPr>
      <w:b/>
      <w:i/>
      <w:color w:val="E36C0A"/>
    </w:rPr>
  </w:style>
  <w:style w:type="character" w:customStyle="1" w:styleId="AERbodytextChar">
    <w:name w:val="AER body text Char"/>
    <w:basedOn w:val="DefaultParagraphFont"/>
    <w:link w:val="AERbodytext"/>
    <w:rsid w:val="00BD04BE"/>
    <w:rPr>
      <w:rFonts w:eastAsia="Times New Roman"/>
      <w:szCs w:val="24"/>
      <w:lang w:eastAsia="en-US"/>
    </w:rPr>
  </w:style>
  <w:style w:type="character" w:customStyle="1" w:styleId="HeadingBoldBlueChar">
    <w:name w:val="Heading Bold Blue Char"/>
    <w:basedOn w:val="AERbodytextChar"/>
    <w:link w:val="HeadingBoldBlue"/>
    <w:rsid w:val="002E4720"/>
    <w:rPr>
      <w:rFonts w:eastAsia="Times New Roman"/>
      <w:b/>
      <w:color w:val="365F91" w:themeColor="accent1" w:themeShade="BF"/>
      <w:sz w:val="22"/>
      <w:szCs w:val="24"/>
      <w:lang w:eastAsia="en-US"/>
    </w:rPr>
  </w:style>
  <w:style w:type="paragraph" w:customStyle="1" w:styleId="HeadingItalic">
    <w:name w:val="Heading Italic"/>
    <w:basedOn w:val="AERbodytext"/>
    <w:next w:val="AERbodytext"/>
    <w:qFormat/>
    <w:rsid w:val="002E4720"/>
    <w:pPr>
      <w:keepNext/>
      <w:spacing w:before="120" w:after="120"/>
    </w:pPr>
    <w:rPr>
      <w:i/>
      <w:color w:val="365F91" w:themeColor="accent1" w:themeShade="BF"/>
    </w:rPr>
  </w:style>
  <w:style w:type="character" w:styleId="PageNumber">
    <w:name w:val="page number"/>
    <w:basedOn w:val="DefaultParagraphFont"/>
    <w:rsid w:val="00CC49D4"/>
    <w:rPr>
      <w:rFonts w:ascii="Gautami" w:hAnsi="Gautami"/>
      <w:sz w:val="18"/>
    </w:rPr>
  </w:style>
  <w:style w:type="paragraph" w:styleId="Revision">
    <w:name w:val="Revision"/>
    <w:hidden/>
    <w:uiPriority w:val="99"/>
    <w:semiHidden/>
    <w:rsid w:val="005613E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109326">
      <w:bodyDiv w:val="1"/>
      <w:marLeft w:val="0"/>
      <w:marRight w:val="0"/>
      <w:marTop w:val="0"/>
      <w:marBottom w:val="0"/>
      <w:divBdr>
        <w:top w:val="none" w:sz="0" w:space="0" w:color="auto"/>
        <w:left w:val="none" w:sz="0" w:space="0" w:color="auto"/>
        <w:bottom w:val="none" w:sz="0" w:space="0" w:color="auto"/>
        <w:right w:val="none" w:sz="0" w:space="0" w:color="auto"/>
      </w:divBdr>
    </w:div>
    <w:div w:id="99321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ERInquiry@aer.gov.au"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26F3C-C60B-444F-81B3-84346E1CB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3673</Words>
  <Characters>20937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24561</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Finnin, Kylie</dc:creator>
  <cp:keywords/>
  <cp:lastModifiedBy>Connaugh Sheehan</cp:lastModifiedBy>
  <cp:revision>2</cp:revision>
  <cp:lastPrinted>2013-09-26T04:03:00Z</cp:lastPrinted>
  <dcterms:created xsi:type="dcterms:W3CDTF">2023-09-28T04:07:00Z</dcterms:created>
  <dcterms:modified xsi:type="dcterms:W3CDTF">2023-09-28T04:07:00Z</dcterms:modified>
</cp:coreProperties>
</file>